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168" w:rsidRDefault="00D10168" w:rsidP="00D10168">
      <w:pPr>
        <w:bidi/>
        <w:rPr>
          <w:rFonts w:hint="cs"/>
          <w:rtl/>
        </w:rPr>
      </w:pPr>
    </w:p>
    <w:p w:rsidR="00D10168" w:rsidRDefault="00D10168" w:rsidP="00D10168">
      <w:pPr>
        <w:bidi/>
        <w:rPr>
          <w:rFonts w:hint="cs"/>
          <w:rtl/>
        </w:rPr>
      </w:pPr>
      <w:r>
        <w:rPr>
          <w:rFonts w:hint="cs"/>
          <w:rtl/>
        </w:rPr>
        <w:t>كلية العلوم التطبيقية ومركز خدمة المجتمع</w:t>
      </w:r>
    </w:p>
    <w:p w:rsidR="00D10168" w:rsidRDefault="00D10168" w:rsidP="00D10168">
      <w:pPr>
        <w:bidi/>
        <w:rPr>
          <w:rFonts w:hint="cs"/>
          <w:rtl/>
        </w:rPr>
      </w:pPr>
      <w:r>
        <w:rPr>
          <w:rFonts w:hint="cs"/>
          <w:rtl/>
        </w:rPr>
        <w:t xml:space="preserve">              دبلوم المحاسبة</w:t>
      </w:r>
    </w:p>
    <w:p w:rsidR="00D10168" w:rsidRDefault="00D10168" w:rsidP="00D10168">
      <w:pPr>
        <w:bidi/>
        <w:rPr>
          <w:rFonts w:hint="cs"/>
          <w:b/>
          <w:bCs/>
          <w:sz w:val="20"/>
          <w:szCs w:val="20"/>
        </w:rPr>
      </w:pPr>
    </w:p>
    <w:p w:rsidR="00D10168" w:rsidRDefault="00D10168" w:rsidP="00D10168">
      <w:pPr>
        <w:bidi/>
        <w:jc w:val="center"/>
        <w:rPr>
          <w:rFonts w:hint="cs"/>
          <w:sz w:val="28"/>
          <w:szCs w:val="28"/>
          <w:rtl/>
        </w:rPr>
      </w:pPr>
      <w:r>
        <w:rPr>
          <w:rFonts w:hint="cs"/>
          <w:b/>
          <w:bCs/>
          <w:sz w:val="28"/>
          <w:szCs w:val="28"/>
          <w:rtl/>
        </w:rPr>
        <w:t>الخطة الدراسية لمقرر 1205 حسب</w:t>
      </w:r>
    </w:p>
    <w:p w:rsidR="00D10168" w:rsidRDefault="00D10168" w:rsidP="00D10168">
      <w:pPr>
        <w:pStyle w:val="Heading4"/>
        <w:rPr>
          <w:rFonts w:hint="cs"/>
          <w:sz w:val="28"/>
          <w:szCs w:val="28"/>
          <w:rtl/>
        </w:rPr>
      </w:pPr>
      <w:r>
        <w:rPr>
          <w:rFonts w:hint="cs"/>
          <w:sz w:val="28"/>
          <w:szCs w:val="28"/>
          <w:rtl/>
        </w:rPr>
        <w:t xml:space="preserve"> المراجعة</w:t>
      </w:r>
    </w:p>
    <w:p w:rsidR="00D10168" w:rsidRDefault="00D10168" w:rsidP="00D10168">
      <w:pPr>
        <w:bidi/>
        <w:rPr>
          <w:rFonts w:hint="cs"/>
          <w:sz w:val="20"/>
          <w:szCs w:val="20"/>
          <w:rtl/>
        </w:rPr>
      </w:pPr>
    </w:p>
    <w:p w:rsidR="00D10168" w:rsidRDefault="00D10168" w:rsidP="00D10168">
      <w:pPr>
        <w:bidi/>
        <w:rPr>
          <w:rFonts w:hint="cs"/>
          <w:b/>
          <w:bCs/>
          <w:rtl/>
        </w:rPr>
      </w:pPr>
      <w:r>
        <w:rPr>
          <w:rFonts w:hint="cs"/>
          <w:b/>
          <w:bCs/>
          <w:rtl/>
        </w:rPr>
        <w:t>الهدف من المقرر :</w:t>
      </w:r>
    </w:p>
    <w:p w:rsidR="00D10168" w:rsidRDefault="00D10168" w:rsidP="00D10168">
      <w:pPr>
        <w:bidi/>
        <w:jc w:val="both"/>
        <w:rPr>
          <w:rFonts w:hint="cs"/>
          <w:rtl/>
        </w:rPr>
      </w:pPr>
      <w:r>
        <w:rPr>
          <w:rFonts w:hint="cs"/>
          <w:rtl/>
        </w:rPr>
        <w:t xml:space="preserve"> التعريف بالاطار النظري والتطبيقي للمراجعة وكيفية القيام بالمراجعة الميدانية بهدف اعداد تقرير يتضمن رأي المراجع في مدى عدالة القوائم المالية التي تم مراجعتها للتعبير عن المركز المالي ونتائج الأعمال للوحدات الاقتصادية .</w:t>
      </w:r>
    </w:p>
    <w:p w:rsidR="00D10168" w:rsidRDefault="00D10168" w:rsidP="00D10168">
      <w:pPr>
        <w:bidi/>
        <w:rPr>
          <w:rFonts w:hint="cs"/>
          <w:sz w:val="20"/>
          <w:szCs w:val="20"/>
          <w:rtl/>
        </w:rPr>
      </w:pPr>
    </w:p>
    <w:p w:rsidR="00D10168" w:rsidRDefault="00D10168" w:rsidP="00D10168">
      <w:pPr>
        <w:bidi/>
        <w:rPr>
          <w:rFonts w:hint="cs"/>
          <w:rtl/>
        </w:rPr>
      </w:pPr>
      <w:r>
        <w:rPr>
          <w:rFonts w:hint="cs"/>
          <w:b/>
          <w:bCs/>
          <w:rtl/>
        </w:rPr>
        <w:t xml:space="preserve">المرجع الرئيسي : </w:t>
      </w:r>
      <w:r>
        <w:rPr>
          <w:rFonts w:hint="cs"/>
          <w:rtl/>
        </w:rPr>
        <w:t>المراجعة ( المفاهيم و المعايير و الاجراءات)</w:t>
      </w:r>
    </w:p>
    <w:p w:rsidR="00D10168" w:rsidRDefault="00D10168" w:rsidP="00D10168">
      <w:pPr>
        <w:bidi/>
        <w:rPr>
          <w:rFonts w:hint="cs"/>
          <w:rtl/>
        </w:rPr>
      </w:pPr>
      <w:r>
        <w:rPr>
          <w:rFonts w:hint="cs"/>
          <w:b/>
          <w:bCs/>
          <w:rtl/>
        </w:rPr>
        <w:t xml:space="preserve">المؤلف            : </w:t>
      </w:r>
      <w:r>
        <w:rPr>
          <w:rFonts w:hint="cs"/>
          <w:rtl/>
        </w:rPr>
        <w:t xml:space="preserve">د. مصطفى عيسى خضير   </w:t>
      </w:r>
    </w:p>
    <w:p w:rsidR="00D10168" w:rsidRDefault="00D10168" w:rsidP="00D10168">
      <w:pPr>
        <w:bidi/>
        <w:rPr>
          <w:rFonts w:hint="cs"/>
          <w:sz w:val="20"/>
          <w:szCs w:val="20"/>
          <w:rtl/>
        </w:rPr>
      </w:pPr>
    </w:p>
    <w:p w:rsidR="00D10168" w:rsidRDefault="00D10168" w:rsidP="00D10168">
      <w:pPr>
        <w:bidi/>
        <w:rPr>
          <w:rFonts w:hint="cs"/>
          <w:rtl/>
        </w:rPr>
      </w:pPr>
      <w:r>
        <w:rPr>
          <w:rFonts w:hint="cs"/>
          <w:b/>
          <w:bCs/>
          <w:rtl/>
        </w:rPr>
        <w:t>تقييم أداء الطالبة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74"/>
        <w:gridCol w:w="2448"/>
      </w:tblGrid>
      <w:tr w:rsidR="00D10168">
        <w:tblPrEx>
          <w:tblCellMar>
            <w:top w:w="0" w:type="dxa"/>
            <w:bottom w:w="0" w:type="dxa"/>
          </w:tblCellMar>
        </w:tblPrEx>
        <w:tc>
          <w:tcPr>
            <w:tcW w:w="6074" w:type="dxa"/>
          </w:tcPr>
          <w:p w:rsidR="00D10168" w:rsidRDefault="00D10168" w:rsidP="00D10168">
            <w:pPr>
              <w:pStyle w:val="Heading1"/>
              <w:rPr>
                <w:rFonts w:hint="cs"/>
              </w:rPr>
            </w:pPr>
            <w:r>
              <w:rPr>
                <w:rFonts w:hint="cs"/>
                <w:rtl/>
              </w:rPr>
              <w:t>البيـــــــــان</w:t>
            </w:r>
          </w:p>
        </w:tc>
        <w:tc>
          <w:tcPr>
            <w:tcW w:w="2448" w:type="dxa"/>
          </w:tcPr>
          <w:p w:rsidR="00D10168" w:rsidRDefault="00D10168" w:rsidP="00D10168">
            <w:pPr>
              <w:pStyle w:val="Heading2"/>
              <w:rPr>
                <w:rFonts w:hint="cs"/>
              </w:rPr>
            </w:pPr>
            <w:r>
              <w:rPr>
                <w:rFonts w:hint="cs"/>
                <w:rtl/>
              </w:rPr>
              <w:t>الدرجة</w:t>
            </w:r>
          </w:p>
        </w:tc>
      </w:tr>
      <w:tr w:rsidR="00D10168">
        <w:tblPrEx>
          <w:tblCellMar>
            <w:top w:w="0" w:type="dxa"/>
            <w:bottom w:w="0" w:type="dxa"/>
          </w:tblCellMar>
        </w:tblPrEx>
        <w:tc>
          <w:tcPr>
            <w:tcW w:w="6074" w:type="dxa"/>
          </w:tcPr>
          <w:p w:rsidR="00D10168" w:rsidRDefault="00D10168" w:rsidP="00D10168">
            <w:pPr>
              <w:bidi/>
              <w:rPr>
                <w:rFonts w:hint="cs"/>
                <w:rtl/>
              </w:rPr>
            </w:pPr>
            <w:r>
              <w:rPr>
                <w:rFonts w:hint="cs"/>
                <w:rtl/>
              </w:rPr>
              <w:t xml:space="preserve">الامتحان الفصلي الأول    </w:t>
            </w:r>
          </w:p>
        </w:tc>
        <w:tc>
          <w:tcPr>
            <w:tcW w:w="2448" w:type="dxa"/>
          </w:tcPr>
          <w:p w:rsidR="00D10168" w:rsidRDefault="00D10168" w:rsidP="00D10168">
            <w:pPr>
              <w:bidi/>
              <w:jc w:val="center"/>
              <w:rPr>
                <w:rFonts w:hint="cs"/>
              </w:rPr>
            </w:pPr>
            <w:r>
              <w:rPr>
                <w:rFonts w:hint="cs"/>
                <w:rtl/>
              </w:rPr>
              <w:t>20</w:t>
            </w:r>
          </w:p>
        </w:tc>
      </w:tr>
      <w:tr w:rsidR="00D10168">
        <w:tblPrEx>
          <w:tblCellMar>
            <w:top w:w="0" w:type="dxa"/>
            <w:bottom w:w="0" w:type="dxa"/>
          </w:tblCellMar>
        </w:tblPrEx>
        <w:tc>
          <w:tcPr>
            <w:tcW w:w="6074" w:type="dxa"/>
          </w:tcPr>
          <w:p w:rsidR="00D10168" w:rsidRDefault="00D10168" w:rsidP="00D10168">
            <w:pPr>
              <w:bidi/>
              <w:rPr>
                <w:rFonts w:hint="cs"/>
              </w:rPr>
            </w:pPr>
            <w:r>
              <w:rPr>
                <w:rFonts w:hint="cs"/>
                <w:rtl/>
              </w:rPr>
              <w:t xml:space="preserve">الامتحان الفصلي الثاني    </w:t>
            </w:r>
          </w:p>
        </w:tc>
        <w:tc>
          <w:tcPr>
            <w:tcW w:w="2448" w:type="dxa"/>
          </w:tcPr>
          <w:p w:rsidR="00D10168" w:rsidRDefault="00D10168" w:rsidP="00D10168">
            <w:pPr>
              <w:bidi/>
              <w:jc w:val="center"/>
              <w:rPr>
                <w:rFonts w:hint="cs"/>
              </w:rPr>
            </w:pPr>
            <w:r>
              <w:rPr>
                <w:rFonts w:hint="cs"/>
                <w:rtl/>
              </w:rPr>
              <w:t>20</w:t>
            </w:r>
          </w:p>
        </w:tc>
      </w:tr>
      <w:tr w:rsidR="00D10168">
        <w:tblPrEx>
          <w:tblCellMar>
            <w:top w:w="0" w:type="dxa"/>
            <w:bottom w:w="0" w:type="dxa"/>
          </w:tblCellMar>
        </w:tblPrEx>
        <w:tc>
          <w:tcPr>
            <w:tcW w:w="6074" w:type="dxa"/>
          </w:tcPr>
          <w:p w:rsidR="00D10168" w:rsidRDefault="00D10168" w:rsidP="00D10168">
            <w:pPr>
              <w:bidi/>
              <w:rPr>
                <w:rFonts w:hint="cs"/>
              </w:rPr>
            </w:pPr>
            <w:r>
              <w:rPr>
                <w:rFonts w:hint="cs"/>
                <w:rtl/>
              </w:rPr>
              <w:t>امتحانات مفاجئة</w:t>
            </w:r>
          </w:p>
        </w:tc>
        <w:tc>
          <w:tcPr>
            <w:tcW w:w="2448" w:type="dxa"/>
          </w:tcPr>
          <w:p w:rsidR="00D10168" w:rsidRDefault="00D10168" w:rsidP="00D10168">
            <w:pPr>
              <w:bidi/>
              <w:jc w:val="center"/>
              <w:rPr>
                <w:rFonts w:hint="cs"/>
              </w:rPr>
            </w:pPr>
            <w:r>
              <w:rPr>
                <w:rFonts w:hint="cs"/>
                <w:rtl/>
              </w:rPr>
              <w:t>10</w:t>
            </w:r>
          </w:p>
        </w:tc>
      </w:tr>
      <w:tr w:rsidR="00D10168">
        <w:tblPrEx>
          <w:tblCellMar>
            <w:top w:w="0" w:type="dxa"/>
            <w:bottom w:w="0" w:type="dxa"/>
          </w:tblCellMar>
        </w:tblPrEx>
        <w:tc>
          <w:tcPr>
            <w:tcW w:w="6074" w:type="dxa"/>
          </w:tcPr>
          <w:p w:rsidR="00D10168" w:rsidRDefault="00D10168" w:rsidP="00D10168">
            <w:pPr>
              <w:bidi/>
              <w:rPr>
                <w:rFonts w:hint="cs"/>
              </w:rPr>
            </w:pPr>
            <w:r>
              <w:rPr>
                <w:rFonts w:hint="cs"/>
                <w:rtl/>
              </w:rPr>
              <w:t>المناقشة والحضور</w:t>
            </w:r>
          </w:p>
        </w:tc>
        <w:tc>
          <w:tcPr>
            <w:tcW w:w="2448" w:type="dxa"/>
          </w:tcPr>
          <w:p w:rsidR="00D10168" w:rsidRDefault="00D10168" w:rsidP="00D10168">
            <w:pPr>
              <w:bidi/>
              <w:jc w:val="center"/>
              <w:rPr>
                <w:rFonts w:hint="cs"/>
              </w:rPr>
            </w:pPr>
            <w:r>
              <w:rPr>
                <w:rFonts w:hint="cs"/>
                <w:rtl/>
              </w:rPr>
              <w:t>10</w:t>
            </w:r>
          </w:p>
        </w:tc>
      </w:tr>
      <w:tr w:rsidR="00D10168">
        <w:tblPrEx>
          <w:tblCellMar>
            <w:top w:w="0" w:type="dxa"/>
            <w:bottom w:w="0" w:type="dxa"/>
          </w:tblCellMar>
        </w:tblPrEx>
        <w:tc>
          <w:tcPr>
            <w:tcW w:w="6074" w:type="dxa"/>
          </w:tcPr>
          <w:p w:rsidR="00D10168" w:rsidRDefault="00D10168" w:rsidP="00D10168">
            <w:pPr>
              <w:bidi/>
              <w:rPr>
                <w:rFonts w:hint="cs"/>
              </w:rPr>
            </w:pPr>
            <w:r>
              <w:rPr>
                <w:rFonts w:hint="cs"/>
                <w:rtl/>
              </w:rPr>
              <w:t>الامتحان النهائي</w:t>
            </w:r>
          </w:p>
        </w:tc>
        <w:tc>
          <w:tcPr>
            <w:tcW w:w="2448" w:type="dxa"/>
          </w:tcPr>
          <w:p w:rsidR="00D10168" w:rsidRDefault="00D10168" w:rsidP="00D10168">
            <w:pPr>
              <w:bidi/>
              <w:jc w:val="center"/>
              <w:rPr>
                <w:rFonts w:hint="cs"/>
              </w:rPr>
            </w:pPr>
            <w:r>
              <w:rPr>
                <w:rFonts w:hint="cs"/>
                <w:rtl/>
              </w:rPr>
              <w:t>40</w:t>
            </w:r>
          </w:p>
        </w:tc>
      </w:tr>
    </w:tbl>
    <w:p w:rsidR="00D10168" w:rsidRDefault="00D10168" w:rsidP="00D10168">
      <w:pPr>
        <w:bidi/>
        <w:rPr>
          <w:rFonts w:hint="cs"/>
          <w:rtl/>
        </w:rPr>
      </w:pPr>
      <w:r>
        <w:rPr>
          <w:rFonts w:hint="cs"/>
          <w:rtl/>
        </w:rPr>
        <w:t xml:space="preserve"> (الغياب بنسبة 25% من المحاضرات يؤدي الى الحرمان من دخول الامتحان النهائي)</w:t>
      </w:r>
    </w:p>
    <w:p w:rsidR="00D10168" w:rsidRPr="00B863B4" w:rsidRDefault="00D10168" w:rsidP="00D10168">
      <w:pPr>
        <w:bidi/>
        <w:rPr>
          <w:rFonts w:hint="cs"/>
          <w:b/>
          <w:bCs/>
          <w:u w:val="single"/>
          <w:rtl/>
        </w:rPr>
      </w:pPr>
      <w:r>
        <w:rPr>
          <w:rFonts w:hint="cs"/>
          <w:b/>
          <w:bCs/>
          <w:rtl/>
        </w:rPr>
        <w:t xml:space="preserve">* لا يسمح بإعادة الامتحانات الفصلية لأي بسبب إلا بعذر طبي من مستشفى حكومي, </w:t>
      </w:r>
      <w:r w:rsidRPr="00B863B4">
        <w:rPr>
          <w:rFonts w:hint="cs"/>
          <w:b/>
          <w:bCs/>
          <w:u w:val="single"/>
          <w:rtl/>
        </w:rPr>
        <w:t>ويتم إعادة الامتحان في نهاية الفصل بجميع مفردات المادة .</w:t>
      </w:r>
    </w:p>
    <w:p w:rsidR="00D10168" w:rsidRDefault="00D10168" w:rsidP="00D10168">
      <w:pPr>
        <w:bidi/>
        <w:rPr>
          <w:rFonts w:hint="cs"/>
          <w:sz w:val="20"/>
          <w:szCs w:val="20"/>
          <w:rtl/>
        </w:rPr>
      </w:pPr>
    </w:p>
    <w:p w:rsidR="00D10168" w:rsidRDefault="00D10168" w:rsidP="00D10168">
      <w:pPr>
        <w:bidi/>
        <w:rPr>
          <w:rtl/>
        </w:rPr>
      </w:pPr>
      <w:r>
        <w:rPr>
          <w:rFonts w:hint="cs"/>
          <w:b/>
          <w:bCs/>
          <w:rtl/>
        </w:rPr>
        <w:t>موضوعات المقرر :</w:t>
      </w:r>
      <w:r>
        <w:rPr>
          <w:rFonts w:hint="cs"/>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54"/>
        <w:gridCol w:w="1440"/>
        <w:gridCol w:w="4068"/>
      </w:tblGrid>
      <w:tr w:rsidR="004B196B">
        <w:tblPrEx>
          <w:tblCellMar>
            <w:top w:w="0" w:type="dxa"/>
            <w:bottom w:w="0" w:type="dxa"/>
          </w:tblCellMar>
        </w:tblPrEx>
        <w:trPr>
          <w:trHeight w:val="298"/>
        </w:trPr>
        <w:tc>
          <w:tcPr>
            <w:tcW w:w="1754" w:type="dxa"/>
          </w:tcPr>
          <w:p w:rsidR="004B196B" w:rsidRDefault="004B196B" w:rsidP="00D10168">
            <w:pPr>
              <w:pStyle w:val="Heading2"/>
              <w:rPr>
                <w:rFonts w:hint="cs"/>
              </w:rPr>
            </w:pPr>
            <w:r>
              <w:rPr>
                <w:rFonts w:hint="cs"/>
                <w:rtl/>
              </w:rPr>
              <w:t>المحاضرة</w:t>
            </w:r>
          </w:p>
        </w:tc>
        <w:tc>
          <w:tcPr>
            <w:tcW w:w="1440" w:type="dxa"/>
          </w:tcPr>
          <w:p w:rsidR="004B196B" w:rsidRDefault="004B196B" w:rsidP="00D10168">
            <w:pPr>
              <w:pStyle w:val="Heading2"/>
              <w:rPr>
                <w:rFonts w:hint="cs"/>
                <w:rtl/>
              </w:rPr>
            </w:pPr>
            <w:r>
              <w:rPr>
                <w:rFonts w:hint="cs"/>
                <w:rtl/>
              </w:rPr>
              <w:t>الفصل</w:t>
            </w:r>
          </w:p>
        </w:tc>
        <w:tc>
          <w:tcPr>
            <w:tcW w:w="4068" w:type="dxa"/>
          </w:tcPr>
          <w:p w:rsidR="004B196B" w:rsidRDefault="004B196B" w:rsidP="00D10168">
            <w:pPr>
              <w:pStyle w:val="Heading2"/>
              <w:rPr>
                <w:rFonts w:hint="cs"/>
              </w:rPr>
            </w:pPr>
            <w:r>
              <w:rPr>
                <w:rFonts w:hint="cs"/>
                <w:rtl/>
              </w:rPr>
              <w:t>الموضوع</w:t>
            </w:r>
          </w:p>
        </w:tc>
      </w:tr>
      <w:tr w:rsidR="004B196B">
        <w:tblPrEx>
          <w:tblCellMar>
            <w:top w:w="0" w:type="dxa"/>
            <w:bottom w:w="0" w:type="dxa"/>
          </w:tblCellMar>
        </w:tblPrEx>
        <w:trPr>
          <w:trHeight w:val="279"/>
        </w:trPr>
        <w:tc>
          <w:tcPr>
            <w:tcW w:w="1754" w:type="dxa"/>
          </w:tcPr>
          <w:p w:rsidR="004B196B" w:rsidRDefault="004B196B" w:rsidP="00D10168">
            <w:pPr>
              <w:bidi/>
              <w:jc w:val="center"/>
              <w:rPr>
                <w:rFonts w:hint="cs"/>
              </w:rPr>
            </w:pPr>
            <w:r>
              <w:rPr>
                <w:rFonts w:hint="cs"/>
                <w:rtl/>
              </w:rPr>
              <w:t>الأولى</w:t>
            </w:r>
          </w:p>
        </w:tc>
        <w:tc>
          <w:tcPr>
            <w:tcW w:w="1440" w:type="dxa"/>
          </w:tcPr>
          <w:p w:rsidR="004B196B" w:rsidRDefault="004B196B" w:rsidP="00D10168">
            <w:pPr>
              <w:bidi/>
              <w:jc w:val="center"/>
            </w:pPr>
            <w:r>
              <w:rPr>
                <w:rFonts w:hint="cs"/>
                <w:rtl/>
              </w:rPr>
              <w:t>الأول</w:t>
            </w:r>
          </w:p>
          <w:p w:rsidR="004B196B" w:rsidRDefault="004B196B" w:rsidP="00D10168">
            <w:pPr>
              <w:bidi/>
              <w:jc w:val="center"/>
              <w:rPr>
                <w:rFonts w:hint="cs"/>
                <w:rtl/>
              </w:rPr>
            </w:pPr>
          </w:p>
        </w:tc>
        <w:tc>
          <w:tcPr>
            <w:tcW w:w="4068" w:type="dxa"/>
          </w:tcPr>
          <w:p w:rsidR="004B196B" w:rsidRDefault="004B196B" w:rsidP="00D10168">
            <w:pPr>
              <w:bidi/>
              <w:jc w:val="center"/>
              <w:rPr>
                <w:rFonts w:hint="cs"/>
                <w:rtl/>
              </w:rPr>
            </w:pPr>
            <w:r>
              <w:rPr>
                <w:rFonts w:hint="cs"/>
                <w:rtl/>
              </w:rPr>
              <w:t>المراجعة : طبيعتها وأهدافها</w:t>
            </w:r>
          </w:p>
          <w:p w:rsidR="004B196B" w:rsidRDefault="004B196B" w:rsidP="00D10168">
            <w:pPr>
              <w:bidi/>
              <w:jc w:val="center"/>
              <w:rPr>
                <w:rFonts w:hint="cs"/>
              </w:rPr>
            </w:pPr>
          </w:p>
        </w:tc>
      </w:tr>
      <w:tr w:rsidR="004B196B">
        <w:tblPrEx>
          <w:tblCellMar>
            <w:top w:w="0" w:type="dxa"/>
            <w:bottom w:w="0" w:type="dxa"/>
          </w:tblCellMar>
        </w:tblPrEx>
        <w:trPr>
          <w:trHeight w:val="277"/>
        </w:trPr>
        <w:tc>
          <w:tcPr>
            <w:tcW w:w="1754" w:type="dxa"/>
          </w:tcPr>
          <w:p w:rsidR="004B196B" w:rsidRDefault="004B196B" w:rsidP="00D10168">
            <w:pPr>
              <w:bidi/>
              <w:jc w:val="center"/>
              <w:rPr>
                <w:rFonts w:hint="cs"/>
              </w:rPr>
            </w:pPr>
            <w:r>
              <w:rPr>
                <w:rFonts w:hint="cs"/>
                <w:rtl/>
              </w:rPr>
              <w:t>الثانية</w:t>
            </w:r>
          </w:p>
        </w:tc>
        <w:tc>
          <w:tcPr>
            <w:tcW w:w="1440" w:type="dxa"/>
          </w:tcPr>
          <w:p w:rsidR="004B196B" w:rsidRDefault="004B196B" w:rsidP="00D10168">
            <w:pPr>
              <w:tabs>
                <w:tab w:val="left" w:pos="324"/>
                <w:tab w:val="center" w:pos="612"/>
              </w:tabs>
              <w:bidi/>
              <w:rPr>
                <w:rFonts w:hint="cs"/>
                <w:rtl/>
              </w:rPr>
            </w:pPr>
            <w:r>
              <w:rPr>
                <w:rtl/>
              </w:rPr>
              <w:tab/>
            </w:r>
            <w:r>
              <w:rPr>
                <w:rFonts w:hint="cs"/>
                <w:rtl/>
              </w:rPr>
              <w:t>الثاني +</w:t>
            </w:r>
          </w:p>
          <w:p w:rsidR="004B196B" w:rsidRDefault="004B196B" w:rsidP="00D10168">
            <w:pPr>
              <w:tabs>
                <w:tab w:val="left" w:pos="324"/>
                <w:tab w:val="center" w:pos="612"/>
              </w:tabs>
              <w:bidi/>
              <w:rPr>
                <w:rFonts w:hint="cs"/>
                <w:rtl/>
              </w:rPr>
            </w:pPr>
            <w:r>
              <w:rPr>
                <w:rtl/>
              </w:rPr>
              <w:tab/>
            </w:r>
            <w:r>
              <w:rPr>
                <w:rFonts w:hint="cs"/>
                <w:rtl/>
              </w:rPr>
              <w:t>الثالث</w:t>
            </w:r>
          </w:p>
        </w:tc>
        <w:tc>
          <w:tcPr>
            <w:tcW w:w="4068" w:type="dxa"/>
          </w:tcPr>
          <w:p w:rsidR="004B196B" w:rsidRDefault="004B196B" w:rsidP="00D10168">
            <w:pPr>
              <w:bidi/>
              <w:jc w:val="center"/>
              <w:rPr>
                <w:rFonts w:hint="cs"/>
                <w:rtl/>
              </w:rPr>
            </w:pPr>
            <w:r>
              <w:rPr>
                <w:rFonts w:hint="cs"/>
                <w:rtl/>
              </w:rPr>
              <w:t>معايير المراجعة المتعارف عليها+</w:t>
            </w:r>
          </w:p>
          <w:p w:rsidR="004B196B" w:rsidRDefault="004B196B" w:rsidP="00D10168">
            <w:pPr>
              <w:bidi/>
              <w:jc w:val="center"/>
              <w:rPr>
                <w:rFonts w:hint="cs"/>
              </w:rPr>
            </w:pPr>
            <w:r>
              <w:rPr>
                <w:rFonts w:hint="cs"/>
                <w:rtl/>
              </w:rPr>
              <w:t xml:space="preserve"> الاستقلال وقواعد السلوك المهني</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الثالثة</w:t>
            </w:r>
          </w:p>
        </w:tc>
        <w:tc>
          <w:tcPr>
            <w:tcW w:w="1440" w:type="dxa"/>
          </w:tcPr>
          <w:p w:rsidR="004B196B" w:rsidRDefault="004B196B" w:rsidP="00D10168">
            <w:pPr>
              <w:bidi/>
              <w:jc w:val="center"/>
              <w:rPr>
                <w:rFonts w:hint="cs"/>
                <w:rtl/>
              </w:rPr>
            </w:pPr>
            <w:r>
              <w:rPr>
                <w:rFonts w:hint="cs"/>
                <w:rtl/>
              </w:rPr>
              <w:t>الخامس</w:t>
            </w:r>
          </w:p>
        </w:tc>
        <w:tc>
          <w:tcPr>
            <w:tcW w:w="4068" w:type="dxa"/>
          </w:tcPr>
          <w:p w:rsidR="004B196B" w:rsidRDefault="004B196B" w:rsidP="00D10168">
            <w:pPr>
              <w:bidi/>
              <w:jc w:val="center"/>
              <w:rPr>
                <w:rFonts w:hint="cs"/>
              </w:rPr>
            </w:pPr>
            <w:r>
              <w:rPr>
                <w:rFonts w:hint="cs"/>
                <w:rtl/>
              </w:rPr>
              <w:t>أدلة الإثبات في المراجعة ووسائل الحصول عليها</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الرابعة</w:t>
            </w:r>
          </w:p>
        </w:tc>
        <w:tc>
          <w:tcPr>
            <w:tcW w:w="1440" w:type="dxa"/>
          </w:tcPr>
          <w:p w:rsidR="004B196B" w:rsidRDefault="004B196B" w:rsidP="00D10168">
            <w:pPr>
              <w:bidi/>
              <w:jc w:val="center"/>
              <w:rPr>
                <w:rFonts w:hint="cs"/>
                <w:rtl/>
              </w:rPr>
            </w:pPr>
            <w:r>
              <w:rPr>
                <w:rFonts w:hint="cs"/>
                <w:rtl/>
              </w:rPr>
              <w:t>السادس</w:t>
            </w:r>
          </w:p>
        </w:tc>
        <w:tc>
          <w:tcPr>
            <w:tcW w:w="4068" w:type="dxa"/>
          </w:tcPr>
          <w:p w:rsidR="004B196B" w:rsidRDefault="004B196B" w:rsidP="00D10168">
            <w:pPr>
              <w:bidi/>
              <w:jc w:val="center"/>
              <w:rPr>
                <w:rFonts w:hint="cs"/>
              </w:rPr>
            </w:pPr>
            <w:r>
              <w:rPr>
                <w:rFonts w:hint="cs"/>
                <w:rtl/>
              </w:rPr>
              <w:t>الرقابة الداخلية</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الخامسة</w:t>
            </w:r>
          </w:p>
        </w:tc>
        <w:tc>
          <w:tcPr>
            <w:tcW w:w="1440" w:type="dxa"/>
          </w:tcPr>
          <w:p w:rsidR="004B196B" w:rsidRDefault="004B196B" w:rsidP="00D10168">
            <w:pPr>
              <w:bidi/>
              <w:jc w:val="center"/>
              <w:rPr>
                <w:rFonts w:hint="cs"/>
                <w:rtl/>
              </w:rPr>
            </w:pPr>
            <w:r>
              <w:rPr>
                <w:rFonts w:hint="cs"/>
                <w:rtl/>
              </w:rPr>
              <w:t>السابع</w:t>
            </w:r>
          </w:p>
        </w:tc>
        <w:tc>
          <w:tcPr>
            <w:tcW w:w="4068" w:type="dxa"/>
          </w:tcPr>
          <w:p w:rsidR="004B196B" w:rsidRDefault="004B196B" w:rsidP="00D10168">
            <w:pPr>
              <w:pStyle w:val="Heading3"/>
              <w:jc w:val="center"/>
              <w:rPr>
                <w:rFonts w:hint="cs"/>
                <w:b w:val="0"/>
                <w:bCs w:val="0"/>
              </w:rPr>
            </w:pPr>
            <w:r>
              <w:rPr>
                <w:rFonts w:hint="cs"/>
                <w:b w:val="0"/>
                <w:bCs w:val="0"/>
                <w:rtl/>
              </w:rPr>
              <w:t>تخطيط عملية المراجعة</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السادسة</w:t>
            </w:r>
          </w:p>
        </w:tc>
        <w:tc>
          <w:tcPr>
            <w:tcW w:w="1440" w:type="dxa"/>
          </w:tcPr>
          <w:p w:rsidR="004B196B" w:rsidRDefault="004B196B" w:rsidP="00D10168">
            <w:pPr>
              <w:bidi/>
              <w:jc w:val="center"/>
              <w:rPr>
                <w:rFonts w:hint="cs"/>
                <w:rtl/>
              </w:rPr>
            </w:pPr>
          </w:p>
        </w:tc>
        <w:tc>
          <w:tcPr>
            <w:tcW w:w="4068" w:type="dxa"/>
          </w:tcPr>
          <w:p w:rsidR="004B196B" w:rsidRDefault="004B196B" w:rsidP="00D10168">
            <w:pPr>
              <w:pStyle w:val="Heading3"/>
              <w:jc w:val="center"/>
              <w:rPr>
                <w:rFonts w:hint="cs"/>
              </w:rPr>
            </w:pPr>
            <w:r>
              <w:rPr>
                <w:rFonts w:hint="cs"/>
                <w:rtl/>
              </w:rPr>
              <w:t>الامتحان الفصلي الأول</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السابعة</w:t>
            </w:r>
          </w:p>
        </w:tc>
        <w:tc>
          <w:tcPr>
            <w:tcW w:w="1440" w:type="dxa"/>
          </w:tcPr>
          <w:p w:rsidR="004B196B" w:rsidRDefault="004B196B" w:rsidP="00D10168">
            <w:pPr>
              <w:bidi/>
              <w:jc w:val="center"/>
              <w:rPr>
                <w:rFonts w:hint="cs"/>
                <w:rtl/>
              </w:rPr>
            </w:pPr>
            <w:r>
              <w:rPr>
                <w:rFonts w:hint="cs"/>
                <w:rtl/>
              </w:rPr>
              <w:t>العاشر</w:t>
            </w:r>
          </w:p>
        </w:tc>
        <w:tc>
          <w:tcPr>
            <w:tcW w:w="4068" w:type="dxa"/>
          </w:tcPr>
          <w:p w:rsidR="004B196B" w:rsidRDefault="004B196B" w:rsidP="00D10168">
            <w:pPr>
              <w:bidi/>
              <w:jc w:val="center"/>
              <w:rPr>
                <w:rFonts w:hint="cs"/>
              </w:rPr>
            </w:pPr>
            <w:r>
              <w:rPr>
                <w:rFonts w:hint="cs"/>
                <w:rtl/>
              </w:rPr>
              <w:t>النقدية</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الثامنة</w:t>
            </w:r>
          </w:p>
        </w:tc>
        <w:tc>
          <w:tcPr>
            <w:tcW w:w="1440" w:type="dxa"/>
          </w:tcPr>
          <w:p w:rsidR="004B196B" w:rsidRDefault="004B196B" w:rsidP="00D10168">
            <w:pPr>
              <w:bidi/>
              <w:jc w:val="center"/>
              <w:rPr>
                <w:rFonts w:hint="cs"/>
                <w:rtl/>
              </w:rPr>
            </w:pPr>
            <w:r>
              <w:rPr>
                <w:rFonts w:hint="cs"/>
                <w:rtl/>
              </w:rPr>
              <w:t>العاشر</w:t>
            </w:r>
          </w:p>
        </w:tc>
        <w:tc>
          <w:tcPr>
            <w:tcW w:w="4068" w:type="dxa"/>
          </w:tcPr>
          <w:p w:rsidR="004B196B" w:rsidRDefault="004B196B" w:rsidP="00D10168">
            <w:pPr>
              <w:bidi/>
              <w:jc w:val="center"/>
              <w:rPr>
                <w:rFonts w:hint="cs"/>
              </w:rPr>
            </w:pPr>
            <w:r>
              <w:rPr>
                <w:rFonts w:hint="cs"/>
                <w:rtl/>
              </w:rPr>
              <w:t>النقدية</w:t>
            </w:r>
          </w:p>
        </w:tc>
      </w:tr>
      <w:tr w:rsidR="004B196B">
        <w:tblPrEx>
          <w:tblCellMar>
            <w:top w:w="0" w:type="dxa"/>
            <w:bottom w:w="0" w:type="dxa"/>
          </w:tblCellMar>
        </w:tblPrEx>
        <w:trPr>
          <w:trHeight w:val="294"/>
        </w:trPr>
        <w:tc>
          <w:tcPr>
            <w:tcW w:w="1754" w:type="dxa"/>
          </w:tcPr>
          <w:p w:rsidR="004B196B" w:rsidRDefault="004B196B" w:rsidP="00D10168">
            <w:pPr>
              <w:bidi/>
              <w:jc w:val="center"/>
              <w:rPr>
                <w:rFonts w:hint="cs"/>
              </w:rPr>
            </w:pPr>
            <w:r>
              <w:rPr>
                <w:rFonts w:hint="cs"/>
                <w:rtl/>
              </w:rPr>
              <w:t>التاسعة</w:t>
            </w:r>
          </w:p>
        </w:tc>
        <w:tc>
          <w:tcPr>
            <w:tcW w:w="1440" w:type="dxa"/>
          </w:tcPr>
          <w:p w:rsidR="004B196B" w:rsidRDefault="004B196B" w:rsidP="00D10168">
            <w:pPr>
              <w:bidi/>
              <w:jc w:val="center"/>
              <w:rPr>
                <w:rFonts w:hint="cs"/>
                <w:rtl/>
              </w:rPr>
            </w:pPr>
            <w:r>
              <w:rPr>
                <w:rFonts w:hint="cs"/>
                <w:rtl/>
              </w:rPr>
              <w:t xml:space="preserve"> الحادي عشر</w:t>
            </w:r>
          </w:p>
        </w:tc>
        <w:tc>
          <w:tcPr>
            <w:tcW w:w="4068" w:type="dxa"/>
          </w:tcPr>
          <w:p w:rsidR="004B196B" w:rsidRDefault="004B196B" w:rsidP="00D10168">
            <w:pPr>
              <w:bidi/>
              <w:jc w:val="center"/>
              <w:rPr>
                <w:rFonts w:hint="cs"/>
              </w:rPr>
            </w:pPr>
            <w:r>
              <w:rPr>
                <w:rFonts w:hint="cs"/>
                <w:rtl/>
              </w:rPr>
              <w:t>الأوراق المالية والاستثمارات الأخرى</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العاشرة</w:t>
            </w:r>
          </w:p>
        </w:tc>
        <w:tc>
          <w:tcPr>
            <w:tcW w:w="1440" w:type="dxa"/>
          </w:tcPr>
          <w:p w:rsidR="004B196B" w:rsidRDefault="004B196B" w:rsidP="00D10168">
            <w:pPr>
              <w:bidi/>
              <w:jc w:val="center"/>
              <w:rPr>
                <w:rFonts w:hint="cs"/>
                <w:rtl/>
              </w:rPr>
            </w:pPr>
            <w:r>
              <w:rPr>
                <w:rFonts w:hint="cs"/>
                <w:rtl/>
              </w:rPr>
              <w:t>الثاني عشر + الثالث عشر</w:t>
            </w:r>
          </w:p>
        </w:tc>
        <w:tc>
          <w:tcPr>
            <w:tcW w:w="4068" w:type="dxa"/>
          </w:tcPr>
          <w:p w:rsidR="004B196B" w:rsidRDefault="004B196B" w:rsidP="00D10168">
            <w:pPr>
              <w:bidi/>
              <w:jc w:val="center"/>
              <w:rPr>
                <w:rFonts w:hint="cs"/>
                <w:rtl/>
              </w:rPr>
            </w:pPr>
            <w:r>
              <w:rPr>
                <w:rFonts w:hint="cs"/>
                <w:rtl/>
              </w:rPr>
              <w:t xml:space="preserve">المدينون وأوراق القبض + </w:t>
            </w:r>
          </w:p>
          <w:p w:rsidR="004B196B" w:rsidRDefault="004B196B" w:rsidP="00D10168">
            <w:pPr>
              <w:bidi/>
              <w:jc w:val="center"/>
              <w:rPr>
                <w:rFonts w:hint="cs"/>
              </w:rPr>
            </w:pPr>
            <w:r>
              <w:rPr>
                <w:rFonts w:hint="cs"/>
                <w:rtl/>
              </w:rPr>
              <w:t>المخزون</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الحادي عشر</w:t>
            </w:r>
          </w:p>
        </w:tc>
        <w:tc>
          <w:tcPr>
            <w:tcW w:w="1440" w:type="dxa"/>
          </w:tcPr>
          <w:p w:rsidR="004B196B" w:rsidRDefault="004B196B" w:rsidP="00D10168">
            <w:pPr>
              <w:bidi/>
              <w:jc w:val="center"/>
              <w:rPr>
                <w:rFonts w:hint="cs"/>
                <w:rtl/>
              </w:rPr>
            </w:pPr>
          </w:p>
        </w:tc>
        <w:tc>
          <w:tcPr>
            <w:tcW w:w="4068" w:type="dxa"/>
          </w:tcPr>
          <w:p w:rsidR="004B196B" w:rsidRPr="00B90E05" w:rsidRDefault="004B196B" w:rsidP="00D10168">
            <w:pPr>
              <w:bidi/>
              <w:jc w:val="center"/>
              <w:rPr>
                <w:rFonts w:hint="cs"/>
                <w:b/>
                <w:bCs/>
              </w:rPr>
            </w:pPr>
            <w:r w:rsidRPr="00B90E05">
              <w:rPr>
                <w:rFonts w:hint="cs"/>
                <w:b/>
                <w:bCs/>
                <w:rtl/>
              </w:rPr>
              <w:t>الامتحان الفصلي الثاني</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الثاني عشر</w:t>
            </w:r>
          </w:p>
        </w:tc>
        <w:tc>
          <w:tcPr>
            <w:tcW w:w="1440" w:type="dxa"/>
          </w:tcPr>
          <w:p w:rsidR="004B196B" w:rsidRDefault="004B196B" w:rsidP="00D10168">
            <w:pPr>
              <w:bidi/>
              <w:jc w:val="center"/>
              <w:rPr>
                <w:rFonts w:hint="cs"/>
                <w:rtl/>
              </w:rPr>
            </w:pPr>
            <w:r>
              <w:rPr>
                <w:rFonts w:hint="cs"/>
                <w:rtl/>
              </w:rPr>
              <w:t>الرابع عشر+ الخامس عشر</w:t>
            </w:r>
          </w:p>
        </w:tc>
        <w:tc>
          <w:tcPr>
            <w:tcW w:w="4068" w:type="dxa"/>
          </w:tcPr>
          <w:p w:rsidR="004B196B" w:rsidRDefault="004B196B" w:rsidP="00D10168">
            <w:pPr>
              <w:pStyle w:val="Heading3"/>
              <w:jc w:val="center"/>
              <w:rPr>
                <w:rFonts w:hint="cs"/>
                <w:b w:val="0"/>
                <w:bCs w:val="0"/>
                <w:rtl/>
              </w:rPr>
            </w:pPr>
            <w:r w:rsidRPr="00B90E05">
              <w:rPr>
                <w:rFonts w:hint="cs"/>
                <w:b w:val="0"/>
                <w:bCs w:val="0"/>
                <w:rtl/>
              </w:rPr>
              <w:t xml:space="preserve">الأصول الثابتة + </w:t>
            </w:r>
          </w:p>
          <w:p w:rsidR="004B196B" w:rsidRPr="00B90E05" w:rsidRDefault="004B196B" w:rsidP="00D10168">
            <w:pPr>
              <w:pStyle w:val="Heading3"/>
              <w:jc w:val="center"/>
              <w:rPr>
                <w:rFonts w:hint="cs"/>
                <w:b w:val="0"/>
                <w:bCs w:val="0"/>
                <w:rtl/>
              </w:rPr>
            </w:pPr>
            <w:r w:rsidRPr="00B90E05">
              <w:rPr>
                <w:rFonts w:hint="cs"/>
                <w:b w:val="0"/>
                <w:bCs w:val="0"/>
                <w:rtl/>
              </w:rPr>
              <w:t>الدائنون و الالتزامات</w:t>
            </w:r>
          </w:p>
        </w:tc>
      </w:tr>
      <w:tr w:rsidR="004B196B">
        <w:tblPrEx>
          <w:tblCellMar>
            <w:top w:w="0" w:type="dxa"/>
            <w:bottom w:w="0" w:type="dxa"/>
          </w:tblCellMar>
        </w:tblPrEx>
        <w:tc>
          <w:tcPr>
            <w:tcW w:w="1754" w:type="dxa"/>
          </w:tcPr>
          <w:p w:rsidR="004B196B" w:rsidRDefault="004B196B" w:rsidP="00D10168">
            <w:pPr>
              <w:bidi/>
              <w:jc w:val="center"/>
              <w:rPr>
                <w:rFonts w:hint="cs"/>
              </w:rPr>
            </w:pPr>
            <w:r>
              <w:rPr>
                <w:rFonts w:hint="cs"/>
                <w:rtl/>
              </w:rPr>
              <w:t>الثالث عشر</w:t>
            </w:r>
          </w:p>
        </w:tc>
        <w:tc>
          <w:tcPr>
            <w:tcW w:w="1440" w:type="dxa"/>
          </w:tcPr>
          <w:p w:rsidR="004B196B" w:rsidRDefault="004B196B" w:rsidP="00D10168">
            <w:pPr>
              <w:bidi/>
              <w:jc w:val="center"/>
              <w:rPr>
                <w:rFonts w:hint="cs"/>
                <w:rtl/>
              </w:rPr>
            </w:pPr>
            <w:r>
              <w:rPr>
                <w:rFonts w:hint="cs"/>
                <w:rtl/>
              </w:rPr>
              <w:t>السادس عشر + السابع عشر</w:t>
            </w:r>
          </w:p>
        </w:tc>
        <w:tc>
          <w:tcPr>
            <w:tcW w:w="4068" w:type="dxa"/>
          </w:tcPr>
          <w:p w:rsidR="004B196B" w:rsidRDefault="004B196B" w:rsidP="00D10168">
            <w:pPr>
              <w:pStyle w:val="Heading3"/>
              <w:jc w:val="center"/>
              <w:rPr>
                <w:rFonts w:hint="cs"/>
                <w:b w:val="0"/>
                <w:bCs w:val="0"/>
                <w:rtl/>
              </w:rPr>
            </w:pPr>
            <w:r w:rsidRPr="00E51A20">
              <w:rPr>
                <w:rFonts w:hint="cs"/>
                <w:b w:val="0"/>
                <w:bCs w:val="0"/>
                <w:rtl/>
              </w:rPr>
              <w:t>حقوق أصحاب المشروع +</w:t>
            </w:r>
          </w:p>
          <w:p w:rsidR="004B196B" w:rsidRDefault="004B196B" w:rsidP="00D10168">
            <w:pPr>
              <w:pStyle w:val="Heading3"/>
              <w:jc w:val="center"/>
              <w:rPr>
                <w:rFonts w:hint="cs"/>
                <w:b w:val="0"/>
                <w:bCs w:val="0"/>
              </w:rPr>
            </w:pPr>
            <w:r w:rsidRPr="00E51A20">
              <w:rPr>
                <w:rFonts w:hint="cs"/>
                <w:b w:val="0"/>
                <w:bCs w:val="0"/>
                <w:rtl/>
              </w:rPr>
              <w:t xml:space="preserve"> تقرير المراجع</w:t>
            </w:r>
          </w:p>
        </w:tc>
      </w:tr>
    </w:tbl>
    <w:p w:rsidR="00D10168" w:rsidRDefault="00D10168" w:rsidP="00D10168">
      <w:pPr>
        <w:bidi/>
        <w:rPr>
          <w:rFonts w:hint="cs"/>
          <w:rtl/>
        </w:rPr>
      </w:pPr>
    </w:p>
    <w:p w:rsidR="00D10168" w:rsidRDefault="00D10168" w:rsidP="00D10168">
      <w:pPr>
        <w:bidi/>
        <w:jc w:val="right"/>
        <w:rPr>
          <w:rFonts w:hint="cs"/>
          <w:rtl/>
        </w:rPr>
      </w:pPr>
      <w:r>
        <w:rPr>
          <w:rFonts w:hint="cs"/>
          <w:rtl/>
        </w:rPr>
        <w:t>والله ولي التوفيق,,,</w:t>
      </w:r>
    </w:p>
    <w:p w:rsidR="00D10168" w:rsidRDefault="00D10168" w:rsidP="00D10168">
      <w:pPr>
        <w:bidi/>
        <w:rPr>
          <w:rFonts w:hint="cs"/>
          <w:rtl/>
        </w:rPr>
      </w:pPr>
      <w:r>
        <w:rPr>
          <w:rFonts w:hint="cs"/>
          <w:rtl/>
        </w:rPr>
        <w:t xml:space="preserve">         </w:t>
      </w:r>
    </w:p>
    <w:sectPr w:rsidR="00D10168" w:rsidSect="0059382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20"/>
  <w:characterSpacingControl w:val="doNotCompress"/>
  <w:compat/>
  <w:rsids>
    <w:rsidRoot w:val="00D10168"/>
    <w:rsid w:val="004B196B"/>
    <w:rsid w:val="0059382C"/>
    <w:rsid w:val="008767C3"/>
    <w:rsid w:val="00897295"/>
    <w:rsid w:val="00BD0CEF"/>
    <w:rsid w:val="00D101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0168"/>
    <w:rPr>
      <w:sz w:val="24"/>
      <w:szCs w:val="24"/>
    </w:rPr>
  </w:style>
  <w:style w:type="paragraph" w:styleId="Heading1">
    <w:name w:val="heading 1"/>
    <w:basedOn w:val="Normal"/>
    <w:next w:val="Normal"/>
    <w:qFormat/>
    <w:rsid w:val="00D10168"/>
    <w:pPr>
      <w:keepNext/>
      <w:bidi/>
      <w:jc w:val="center"/>
      <w:outlineLvl w:val="0"/>
    </w:pPr>
    <w:rPr>
      <w:b/>
      <w:bCs/>
      <w:sz w:val="28"/>
      <w:szCs w:val="28"/>
    </w:rPr>
  </w:style>
  <w:style w:type="paragraph" w:styleId="Heading2">
    <w:name w:val="heading 2"/>
    <w:basedOn w:val="Normal"/>
    <w:next w:val="Normal"/>
    <w:qFormat/>
    <w:rsid w:val="00D10168"/>
    <w:pPr>
      <w:keepNext/>
      <w:bidi/>
      <w:jc w:val="center"/>
      <w:outlineLvl w:val="1"/>
    </w:pPr>
    <w:rPr>
      <w:b/>
      <w:bCs/>
    </w:rPr>
  </w:style>
  <w:style w:type="paragraph" w:styleId="Heading3">
    <w:name w:val="heading 3"/>
    <w:basedOn w:val="Normal"/>
    <w:next w:val="Normal"/>
    <w:qFormat/>
    <w:rsid w:val="00D10168"/>
    <w:pPr>
      <w:keepNext/>
      <w:bidi/>
      <w:outlineLvl w:val="2"/>
    </w:pPr>
    <w:rPr>
      <w:b/>
      <w:bCs/>
    </w:rPr>
  </w:style>
  <w:style w:type="paragraph" w:styleId="Heading4">
    <w:name w:val="heading 4"/>
    <w:basedOn w:val="Normal"/>
    <w:next w:val="Normal"/>
    <w:qFormat/>
    <w:rsid w:val="00D10168"/>
    <w:pPr>
      <w:keepNext/>
      <w:bidi/>
      <w:jc w:val="center"/>
      <w:outlineLvl w:val="3"/>
    </w:pPr>
    <w:rPr>
      <w:b/>
      <w:bCs/>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FB334AE46F6E4DBD595B20113DAAFE" ma:contentTypeVersion="0" ma:contentTypeDescription="Create a new document." ma:contentTypeScope="" ma:versionID="17c28c9ae173676b3fb1b56b2f6b6bb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940FB1B-AA9C-4A57-A788-41148C8A1E04}">
  <ds:schemaRefs>
    <ds:schemaRef ds:uri="http://schemas.microsoft.com/sharepoint/v3/contenttype/forms"/>
  </ds:schemaRefs>
</ds:datastoreItem>
</file>

<file path=customXml/itemProps2.xml><?xml version="1.0" encoding="utf-8"?>
<ds:datastoreItem xmlns:ds="http://schemas.openxmlformats.org/officeDocument/2006/customXml" ds:itemID="{15CFA29E-6EA4-418A-8B7A-BEA503B00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4B8A458-F3FC-4FA5-B548-76C30289BD14}">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232</Words>
  <Characters>1326</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كلية العلوم التطبيقية ومركز خدمة المجتمع</vt:lpstr>
    </vt:vector>
  </TitlesOfParts>
  <Company>Hewlett-Packard</Company>
  <LinksUpToDate>false</LinksUpToDate>
  <CharactersWithSpaces>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كلية العلوم التطبيقية ومركز خدمة المجتمع</dc:title>
  <dc:creator>***</dc:creator>
  <cp:lastModifiedBy>Rana</cp:lastModifiedBy>
  <cp:revision>2</cp:revision>
  <dcterms:created xsi:type="dcterms:W3CDTF">2017-01-11T11:44:00Z</dcterms:created>
  <dcterms:modified xsi:type="dcterms:W3CDTF">2017-01-11T11:44:00Z</dcterms:modified>
</cp:coreProperties>
</file>