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3B" w:rsidRDefault="00A82C3B" w:rsidP="00A82C3B">
      <w:pPr>
        <w:rPr>
          <w:rtl/>
        </w:rPr>
      </w:pPr>
    </w:p>
    <w:p w:rsidR="00A82C3B" w:rsidRPr="00A82C3B" w:rsidRDefault="00A82C3B" w:rsidP="00A82C3B">
      <w:pPr>
        <w:bidi w:val="0"/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color w:val="000000"/>
          <w:sz w:val="18"/>
          <w:szCs w:val="30"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وصف مقرر دراسي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4"/>
        <w:gridCol w:w="6408"/>
      </w:tblGrid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رقم المقرر ورمزه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202 ترث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اسمه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تخطيط وتهيئة مواقع التراث الثقافي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عدد وحداته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2 (وحدتان)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المستوى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الثالث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وصفه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يتناول المقرر مواقع التراث الثقافي المختلفة، وإمدادها بالبنية الأساسية والكوادر والمرافق والوحدات الإدارية والخدمية اللازمة لإعدادها كمنتجات سياحية متميزة. 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أهدافه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1.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التعريف بطبيعة مواقع التراث الثقافي ومقوماتها.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  <w:rtl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2.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دراسة الأسس العامة للتخطيط العمراني لمواقع التراث الثقافي.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3.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التعريف بمعطيات البنية الأساسية ومرافق الغدارة والخدمات السياحية المرتبطة بطبيعة مواقع السياحة الثقافية.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4.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دراسة أمثلة من عمليات </w:t>
            </w:r>
            <w:proofErr w:type="spellStart"/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تخططي</w:t>
            </w:r>
            <w:proofErr w:type="spellEnd"/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 وتطوير بعض المواقع السياحية الثقافية بالمملكة. 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طرق تدريسه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محاضرات – قاعة بحث- تقارير وأبحاث- زيارات ميدانية.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  <w:rtl/>
              </w:rPr>
              <w:t>مراجعة الرئيسة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-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الهيئة العليا للسياحة، الإستراتيجية العامة لتنمية السياحة في المملكة.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  <w:rtl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-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منطقة السياحة العالمية ، السياحة في مواقع التراث الثقافي، 2004.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-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منطقة السياحة العالمية، ما هي العناصر التي يحتاج الإداريون إلى معرفتها، 1977.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lastRenderedPageBreak/>
              <w:t>-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محمود </w:t>
            </w:r>
            <w:proofErr w:type="spellStart"/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الديماس</w:t>
            </w:r>
            <w:proofErr w:type="spellEnd"/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، </w:t>
            </w:r>
            <w:proofErr w:type="spellStart"/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تخططي</w:t>
            </w:r>
            <w:proofErr w:type="spellEnd"/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 البرامج ، دار المسيرة للنشر والتوزيع والطباعة، عمان الأردن ، 2002م.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-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سامي عبد المعطي، التخطيطي السياحي في مصر بين النظرية والتطبيق، الهيئة المصرية العامة للكتاب، 1989م. </w:t>
            </w:r>
          </w:p>
          <w:p w:rsidR="00A82C3B" w:rsidRPr="00A82C3B" w:rsidRDefault="00A82C3B" w:rsidP="00A82C3B">
            <w:pPr>
              <w:tabs>
                <w:tab w:val="num" w:pos="720"/>
              </w:tabs>
              <w:spacing w:before="100" w:beforeAutospacing="1" w:after="100" w:afterAutospacing="1" w:line="240" w:lineRule="auto"/>
              <w:ind w:left="720" w:hanging="360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-</w:t>
            </w:r>
            <w:r w:rsidRPr="00A82C3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أحمد الجلاد، التخطيط السياحي والبيئي بين النظرية والتطبيق. </w:t>
            </w:r>
          </w:p>
        </w:tc>
      </w:tr>
      <w:tr w:rsidR="00A82C3B" w:rsidRPr="00A82C3B" w:rsidTr="00A82C3B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lastRenderedPageBreak/>
              <w:t>توزيع الدرجات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C3B" w:rsidRPr="00A82C3B" w:rsidRDefault="00A82C3B" w:rsidP="00A82C3B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 w:rsidRPr="00A82C3B"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40 درجة للأعمال الفصلية = 60 درجة للاختبار النهائي. </w:t>
            </w:r>
          </w:p>
        </w:tc>
      </w:tr>
    </w:tbl>
    <w:p w:rsidR="00A82C3B" w:rsidRPr="00A82C3B" w:rsidRDefault="00A82C3B" w:rsidP="00A82C3B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ثالثاً: </w:t>
      </w:r>
    </w:p>
    <w:p w:rsidR="00A82C3B" w:rsidRPr="00A82C3B" w:rsidRDefault="00A82C3B" w:rsidP="00A82C3B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201 تخطيط وتهيئة مواقع التراث الثقافي</w:t>
      </w:r>
    </w:p>
    <w:p w:rsidR="00A82C3B" w:rsidRPr="00A82C3B" w:rsidRDefault="00A82C3B" w:rsidP="00A82C3B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1. المخطط أدناه يقدم وصفاً للمقرر بأهدافه ومفرداته ومراجعة الرئيسة. </w:t>
      </w:r>
    </w:p>
    <w:p w:rsidR="00A82C3B" w:rsidRPr="00A82C3B" w:rsidRDefault="00A82C3B" w:rsidP="00A82C3B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2. العناوين الرئيسية للمحاضرات حسب كل أسبوع (هناك العددي من العناوين الفرعية داخل العنوان الرئيس).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الأول: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مفهوم التخطي وأسسه وقواعده.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الثاني: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مقومات </w:t>
      </w:r>
      <w:proofErr w:type="spellStart"/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تخططي</w:t>
      </w:r>
      <w:proofErr w:type="spellEnd"/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 وتهيئة مواقع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الثالث: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الأهمية التاريخية، الثقافية الفنية والاقتصادية لمواقع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الرابع: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التعريف بطبيعة مواقع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الخامس: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قيم ومعاني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السادس: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lastRenderedPageBreak/>
        <w:tab/>
        <w:t xml:space="preserve">موارد التراث الثقافي والتخطيط.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السابع: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الأسس العامة للتخطيط العمراني لمواقع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الثامن: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ind w:left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البنية الأساسية ومرافق الإدارة والخدمات السياحية المرتبطة بطبيعة مواقع السياحة الثقافية.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التاسع: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التخطيط السياحي ومواقع التراث الثقافي في المملكة العربية السعودية.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العاشر: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ind w:left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إعادة بعض مواقع التراث العمراني بالمملكة بعد تأهيلها لاستخدامات سياحية جديدة.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الحادي عشر: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التسويق السياحي والتخطيط.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الثاني عشر: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التخطيط لإدارة مواقع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الثالث عشر: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نظم المعلومات ودورها في التخطيط وتهيئة مواقع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الرابع عشر:</w:t>
      </w:r>
    </w:p>
    <w:p w:rsidR="00A82C3B" w:rsidRPr="00A82C3B" w:rsidRDefault="00A82C3B" w:rsidP="00644B38">
      <w:pPr>
        <w:spacing w:before="100" w:beforeAutospacing="1" w:after="100" w:afterAutospacing="1" w:line="120" w:lineRule="auto"/>
        <w:ind w:left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بعض التجارب الدولية والعربية في استخدام نظم حديثة لإدارة مواقع التراث الثقافي. </w:t>
      </w:r>
    </w:p>
    <w:p w:rsidR="00A82C3B" w:rsidRP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الأسبوع الخامس عشر:</w:t>
      </w:r>
    </w:p>
    <w:p w:rsidR="00A82C3B" w:rsidRDefault="00A82C3B" w:rsidP="00644B38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 w:rsidRPr="00A82C3B"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>الإستراتيجية الوطنية لتخطيط وتهيئة مواقع التراث الثقافي.</w:t>
      </w:r>
    </w:p>
    <w:p w:rsidR="00A82C3B" w:rsidRDefault="00A82C3B" w:rsidP="00A82C3B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</w:p>
    <w:p w:rsidR="00A82C3B" w:rsidRDefault="00A82C3B" w:rsidP="00A82C3B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</w:p>
    <w:p w:rsidR="00A82C3B" w:rsidRDefault="00A82C3B" w:rsidP="00A82C3B"/>
    <w:sectPr w:rsidR="00A82C3B" w:rsidSect="00A551CE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A82C3B"/>
    <w:rsid w:val="001B0338"/>
    <w:rsid w:val="001B24D0"/>
    <w:rsid w:val="00644B38"/>
    <w:rsid w:val="00A551CE"/>
    <w:rsid w:val="00A702FD"/>
    <w:rsid w:val="00A82C3B"/>
    <w:rsid w:val="00F5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A82C3B"/>
    <w:rPr>
      <w:rFonts w:ascii="Verdana" w:hAnsi="Verdana" w:hint="default"/>
      <w:color w:val="7A9F09"/>
      <w:sz w:val="16"/>
      <w:szCs w:val="16"/>
      <w:u w:val="single"/>
    </w:rPr>
  </w:style>
  <w:style w:type="paragraph" w:styleId="a3">
    <w:name w:val="Normal (Web)"/>
    <w:basedOn w:val="a"/>
    <w:uiPriority w:val="99"/>
    <w:semiHidden/>
    <w:unhideWhenUsed/>
    <w:rsid w:val="00A82C3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saudi arabia</dc:creator>
  <cp:lastModifiedBy>saudi arabia</cp:lastModifiedBy>
  <cp:revision>5</cp:revision>
  <dcterms:created xsi:type="dcterms:W3CDTF">2012-02-12T17:54:00Z</dcterms:created>
  <dcterms:modified xsi:type="dcterms:W3CDTF">2012-02-13T15:53:00Z</dcterms:modified>
</cp:coreProperties>
</file>