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F22" w:rsidRPr="00E30F22" w:rsidRDefault="00E30F22" w:rsidP="00E30F22">
      <w:pPr>
        <w:bidi w:val="0"/>
        <w:spacing w:before="100" w:beforeAutospacing="1" w:after="100" w:afterAutospacing="1" w:line="240" w:lineRule="auto"/>
        <w:jc w:val="center"/>
        <w:rPr>
          <w:rFonts w:ascii="Verdana" w:eastAsia="Times New Roman" w:hAnsi="Verdana" w:cs="Times New Roman"/>
          <w:color w:val="808080"/>
          <w:sz w:val="17"/>
          <w:szCs w:val="17"/>
        </w:rPr>
      </w:pPr>
      <w:r w:rsidRPr="00E30F22">
        <w:rPr>
          <w:rFonts w:ascii="Verdana" w:eastAsia="Times New Roman" w:hAnsi="Verdana" w:cs="Times New Roman"/>
          <w:color w:val="808080"/>
          <w:sz w:val="17"/>
          <w:szCs w:val="17"/>
        </w:rPr>
        <w:t> </w:t>
      </w:r>
      <w:r w:rsidR="00BA04B4">
        <w:rPr>
          <w:rFonts w:ascii="Calibri" w:eastAsia="Times New Roman" w:hAnsi="Calibri" w:cs="Times New Roman"/>
          <w:b/>
          <w:bCs/>
          <w:color w:val="000080"/>
          <w:sz w:val="36"/>
        </w:rPr>
        <w:t>SDS 423</w:t>
      </w:r>
      <w:r w:rsidRPr="00E30F22">
        <w:rPr>
          <w:rFonts w:ascii="Calibri" w:eastAsia="Times New Roman" w:hAnsi="Calibri" w:cs="Times New Roman"/>
          <w:b/>
          <w:bCs/>
          <w:color w:val="000080"/>
          <w:sz w:val="36"/>
        </w:rPr>
        <w:t xml:space="preserve"> - Clinical Removable Prosthodontics II</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hint="cs"/>
          <w:color w:val="000000"/>
          <w:sz w:val="24"/>
          <w:szCs w:val="24"/>
          <w:rtl/>
        </w:rPr>
        <w:t> </w:t>
      </w:r>
    </w:p>
    <w:p w:rsidR="00E30F22" w:rsidRPr="00E30F22" w:rsidRDefault="00E30F22" w:rsidP="00E30F22">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E30F22">
        <w:rPr>
          <w:rFonts w:ascii="Times New Roman" w:eastAsia="Times New Roman" w:hAnsi="Times New Roman" w:cs="Times New Roman" w:hint="cs"/>
          <w:b/>
          <w:bCs/>
          <w:color w:val="000000"/>
          <w:sz w:val="24"/>
          <w:szCs w:val="24"/>
          <w:rtl/>
        </w:rPr>
        <w:t>اسم المقرر          : اكلينيكيه الاستعاضه  المتحركه (٢)  </w:t>
      </w:r>
    </w:p>
    <w:p w:rsidR="00E30F22" w:rsidRPr="00E30F22" w:rsidRDefault="00E30F22" w:rsidP="00E30F22">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E30F22">
        <w:rPr>
          <w:rFonts w:ascii="Times New Roman" w:eastAsia="Times New Roman" w:hAnsi="Times New Roman" w:cs="Times New Roman" w:hint="cs"/>
          <w:b/>
          <w:bCs/>
          <w:color w:val="000000"/>
          <w:sz w:val="24"/>
          <w:szCs w:val="24"/>
          <w:rtl/>
        </w:rPr>
        <w:t>رقم ورمز المقرر    : ٤٢</w:t>
      </w:r>
      <w:r>
        <w:rPr>
          <w:rFonts w:ascii="Arial" w:eastAsia="Times New Roman" w:hAnsi="Arial" w:cs="Arial" w:hint="cs"/>
          <w:b/>
          <w:bCs/>
          <w:color w:val="000000"/>
          <w:sz w:val="24"/>
          <w:szCs w:val="24"/>
          <w:rtl/>
        </w:rPr>
        <w:t>3</w:t>
      </w:r>
      <w:r w:rsidRPr="00E30F22">
        <w:rPr>
          <w:rFonts w:ascii="Times New Roman" w:eastAsia="Times New Roman" w:hAnsi="Times New Roman" w:cs="Times New Roman" w:hint="cs"/>
          <w:b/>
          <w:bCs/>
          <w:color w:val="000000"/>
          <w:sz w:val="24"/>
          <w:szCs w:val="24"/>
          <w:rtl/>
        </w:rPr>
        <w:t> ماس </w:t>
      </w:r>
    </w:p>
    <w:p w:rsidR="00E30F22" w:rsidRPr="00E30F22" w:rsidRDefault="00E30F22" w:rsidP="00E30F22">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E30F22">
        <w:rPr>
          <w:rFonts w:ascii="Times New Roman" w:eastAsia="Times New Roman" w:hAnsi="Times New Roman" w:cs="Times New Roman" w:hint="cs"/>
          <w:b/>
          <w:bCs/>
          <w:color w:val="000000"/>
          <w:sz w:val="24"/>
          <w:szCs w:val="24"/>
          <w:rtl/>
        </w:rPr>
        <w:t>عدد وحداته الدراسيه: </w:t>
      </w:r>
      <w:r w:rsidRPr="00E30F22">
        <w:rPr>
          <w:rFonts w:ascii="Arial" w:eastAsia="Times New Roman" w:hAnsi="Arial" w:cs="Arial"/>
          <w:b/>
          <w:bCs/>
          <w:color w:val="000000"/>
          <w:sz w:val="24"/>
          <w:szCs w:val="24"/>
          <w:rtl/>
        </w:rPr>
        <w:t>٣</w:t>
      </w:r>
      <w:r w:rsidRPr="00E30F22">
        <w:rPr>
          <w:rFonts w:ascii="Times New Roman" w:eastAsia="Times New Roman" w:hAnsi="Times New Roman" w:cs="Times New Roman" w:hint="cs"/>
          <w:b/>
          <w:bCs/>
          <w:color w:val="000000"/>
          <w:sz w:val="24"/>
          <w:szCs w:val="24"/>
          <w:rtl/>
        </w:rPr>
        <w:t>ساعات  </w:t>
      </w:r>
    </w:p>
    <w:p w:rsidR="00E30F22" w:rsidRPr="00E30F22" w:rsidRDefault="00E30F22" w:rsidP="00E30F22">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E30F22">
        <w:rPr>
          <w:rFonts w:ascii="Times New Roman" w:eastAsia="Times New Roman" w:hAnsi="Times New Roman" w:cs="Times New Roman" w:hint="cs"/>
          <w:b/>
          <w:bCs/>
          <w:color w:val="000000"/>
          <w:sz w:val="24"/>
          <w:szCs w:val="24"/>
          <w:rtl/>
        </w:rPr>
        <w:t>المتطلبات السابقه   :</w:t>
      </w:r>
      <w:r w:rsidRPr="00E30F22">
        <w:rPr>
          <w:rFonts w:ascii="Arial" w:eastAsia="Times New Roman" w:hAnsi="Arial" w:cs="Arial"/>
          <w:b/>
          <w:bCs/>
          <w:color w:val="000000"/>
          <w:sz w:val="24"/>
          <w:szCs w:val="24"/>
          <w:rtl/>
        </w:rPr>
        <w:t>٣</w:t>
      </w:r>
      <w:r w:rsidRPr="00E30F22">
        <w:rPr>
          <w:rFonts w:ascii="Times New Roman" w:eastAsia="Times New Roman" w:hAnsi="Times New Roman" w:cs="Times New Roman" w:hint="cs"/>
          <w:b/>
          <w:bCs/>
          <w:color w:val="000000"/>
          <w:sz w:val="24"/>
          <w:szCs w:val="24"/>
          <w:rtl/>
        </w:rPr>
        <w:t>٢</w:t>
      </w:r>
      <w:r>
        <w:rPr>
          <w:rFonts w:ascii="Arial" w:eastAsia="Times New Roman" w:hAnsi="Arial" w:cs="Arial" w:hint="cs"/>
          <w:b/>
          <w:bCs/>
          <w:color w:val="000000"/>
          <w:sz w:val="24"/>
          <w:szCs w:val="24"/>
          <w:rtl/>
        </w:rPr>
        <w:t xml:space="preserve">3 </w:t>
      </w:r>
      <w:r w:rsidRPr="00E30F22">
        <w:rPr>
          <w:rFonts w:ascii="Times New Roman" w:eastAsia="Times New Roman" w:hAnsi="Times New Roman" w:cs="Times New Roman" w:hint="cs"/>
          <w:b/>
          <w:bCs/>
          <w:color w:val="000000"/>
          <w:sz w:val="24"/>
          <w:szCs w:val="24"/>
          <w:rtl/>
        </w:rPr>
        <w:t> ماس</w:t>
      </w:r>
      <w:r w:rsidRPr="00E30F22">
        <w:rPr>
          <w:rFonts w:ascii="Calibri" w:eastAsia="Times New Roman" w:hAnsi="Calibri" w:cs="Times New Roman"/>
          <w:b/>
          <w:bCs/>
          <w:color w:val="000000"/>
          <w:spacing w:val="-3"/>
          <w:sz w:val="24"/>
          <w:szCs w:val="24"/>
        </w:rPr>
        <w:t> </w:t>
      </w:r>
    </w:p>
    <w:p w:rsidR="00E30F22" w:rsidRPr="00E30F22" w:rsidRDefault="00E30F22" w:rsidP="00E30F22">
      <w:pPr>
        <w:bidi w:val="0"/>
        <w:spacing w:before="100" w:beforeAutospacing="1" w:after="100" w:afterAutospacing="1" w:line="360" w:lineRule="atLeast"/>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rPr>
        <w:t> </w:t>
      </w:r>
    </w:p>
    <w:p w:rsidR="00E30F22" w:rsidRPr="00E30F22" w:rsidRDefault="00E30F22" w:rsidP="00E30F22">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rPr>
        <w:t>SEQUENCE:</w:t>
      </w:r>
    </w:p>
    <w:p w:rsidR="00E30F22" w:rsidRPr="00E30F22" w:rsidRDefault="00E30F22" w:rsidP="00E30F22">
      <w:pPr>
        <w:bidi w:val="0"/>
        <w:spacing w:before="120"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            </w:t>
      </w:r>
      <w:r>
        <w:rPr>
          <w:rFonts w:ascii="Calibri" w:eastAsia="Times New Roman" w:hAnsi="Calibri" w:cs="Times New Roman"/>
          <w:color w:val="000000"/>
          <w:spacing w:val="-3"/>
          <w:sz w:val="24"/>
          <w:szCs w:val="24"/>
        </w:rPr>
        <w:t>SDS Course 423</w:t>
      </w:r>
      <w:r w:rsidRPr="00E30F22">
        <w:rPr>
          <w:rFonts w:ascii="Calibri" w:eastAsia="Times New Roman" w:hAnsi="Calibri" w:cs="Times New Roman"/>
          <w:color w:val="000000"/>
          <w:spacing w:val="-3"/>
          <w:sz w:val="24"/>
          <w:szCs w:val="24"/>
        </w:rPr>
        <w:t xml:space="preserve"> is an advanced didactic &amp; clinical removable prosthodontic course taught in the fourth year of Dental College, King Saud University.</w:t>
      </w:r>
    </w:p>
    <w:p w:rsidR="00E30F22" w:rsidRPr="00E30F22" w:rsidRDefault="00E30F22" w:rsidP="00E30F22">
      <w:pPr>
        <w:bidi w:val="0"/>
        <w:spacing w:before="120" w:after="100" w:afterAutospacing="1" w:line="240" w:lineRule="auto"/>
        <w:jc w:val="both"/>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p w:rsidR="00E30F22" w:rsidRPr="00E30F22" w:rsidRDefault="00E30F22" w:rsidP="00E30F22">
      <w:pPr>
        <w:bidi w:val="0"/>
        <w:spacing w:before="240" w:after="100" w:afterAutospacing="1" w:line="240" w:lineRule="atLeast"/>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lang w:val="fr-FR"/>
        </w:rPr>
        <w:t>PRE-REQUISITE:   SDS 32</w:t>
      </w:r>
      <w:r>
        <w:rPr>
          <w:rFonts w:ascii="Calibri" w:eastAsia="Times New Roman" w:hAnsi="Calibri" w:cs="Times New Roman"/>
          <w:b/>
          <w:bCs/>
          <w:color w:val="000000"/>
          <w:spacing w:val="-3"/>
          <w:sz w:val="24"/>
          <w:szCs w:val="24"/>
          <w:lang w:val="fr-FR"/>
        </w:rPr>
        <w:t>3</w:t>
      </w:r>
    </w:p>
    <w:p w:rsidR="00E30F22" w:rsidRPr="00E30F22" w:rsidRDefault="00E30F22" w:rsidP="00E30F22">
      <w:pPr>
        <w:bidi w:val="0"/>
        <w:spacing w:before="240" w:after="100" w:afterAutospacing="1" w:line="240" w:lineRule="atLeast"/>
        <w:jc w:val="both"/>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p w:rsidR="00E30F22" w:rsidRPr="00E30F22" w:rsidRDefault="00E30F22" w:rsidP="00E30F22">
      <w:pPr>
        <w:bidi w:val="0"/>
        <w:spacing w:before="120" w:after="100" w:afterAutospacing="1" w:line="240" w:lineRule="atLeast"/>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lang w:val="fr-FR"/>
        </w:rPr>
        <w:t>COURSE DESCRIPTION:</w:t>
      </w:r>
    </w:p>
    <w:p w:rsidR="00E30F22" w:rsidRPr="00E30F22" w:rsidRDefault="00E30F22" w:rsidP="00E30F22">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lang w:val="fr-FR"/>
        </w:rPr>
        <w:t>              </w:t>
      </w:r>
      <w:r w:rsidRPr="00E30F22">
        <w:rPr>
          <w:rFonts w:ascii="Calibri" w:eastAsia="Times New Roman" w:hAnsi="Calibri" w:cs="Times New Roman"/>
          <w:color w:val="000000"/>
          <w:spacing w:val="-3"/>
          <w:sz w:val="24"/>
          <w:szCs w:val="24"/>
        </w:rPr>
        <w:t>This course is specially designed to provide an opportunity for gaining better &amp; finer knowledge and skill in prosthodontic services in the diagnosis, treatment planning, special treatment procedures and the insertion and post-insertion of partial, complete, immediate and transitional temporary dentures.  Included are relining and rebasing procedures.  This course has a didactic and a clinical component and the course is spread over the entire academic year </w:t>
      </w:r>
      <w:r w:rsidRPr="00E30F22">
        <w:rPr>
          <w:rFonts w:ascii="Calibri" w:eastAsia="Times New Roman" w:hAnsi="Calibri" w:cs="Times New Roman"/>
          <w:i/>
          <w:iCs/>
          <w:color w:val="000000"/>
          <w:spacing w:val="-3"/>
          <w:sz w:val="24"/>
          <w:szCs w:val="24"/>
        </w:rPr>
        <w:t>i.e.</w:t>
      </w:r>
      <w:r w:rsidRPr="00E30F22">
        <w:rPr>
          <w:rFonts w:ascii="Calibri" w:eastAsia="Times New Roman" w:hAnsi="Calibri" w:cs="Times New Roman"/>
          <w:color w:val="000000"/>
          <w:spacing w:val="-3"/>
          <w:sz w:val="24"/>
          <w:szCs w:val="24"/>
        </w:rPr>
        <w:t> 1</w:t>
      </w:r>
      <w:r w:rsidRPr="00E30F22">
        <w:rPr>
          <w:rFonts w:ascii="Calibri" w:eastAsia="Times New Roman" w:hAnsi="Calibri" w:cs="Times New Roman"/>
          <w:color w:val="000000"/>
          <w:spacing w:val="-3"/>
          <w:sz w:val="24"/>
          <w:szCs w:val="24"/>
          <w:vertAlign w:val="superscript"/>
        </w:rPr>
        <w:t>st</w:t>
      </w:r>
      <w:r w:rsidRPr="00E30F22">
        <w:rPr>
          <w:rFonts w:ascii="Calibri" w:eastAsia="Times New Roman" w:hAnsi="Calibri" w:cs="Times New Roman"/>
          <w:color w:val="000000"/>
          <w:spacing w:val="-3"/>
          <w:sz w:val="24"/>
          <w:szCs w:val="24"/>
        </w:rPr>
        <w:t> &amp; 2</w:t>
      </w:r>
      <w:r w:rsidRPr="00E30F22">
        <w:rPr>
          <w:rFonts w:ascii="Calibri" w:eastAsia="Times New Roman" w:hAnsi="Calibri" w:cs="Times New Roman"/>
          <w:color w:val="000000"/>
          <w:spacing w:val="-3"/>
          <w:sz w:val="24"/>
          <w:szCs w:val="24"/>
          <w:vertAlign w:val="superscript"/>
        </w:rPr>
        <w:t>nd</w:t>
      </w:r>
      <w:r w:rsidRPr="00E30F22">
        <w:rPr>
          <w:rFonts w:ascii="Calibri" w:eastAsia="Times New Roman" w:hAnsi="Calibri" w:cs="Times New Roman"/>
          <w:color w:val="000000"/>
          <w:spacing w:val="-3"/>
          <w:sz w:val="24"/>
          <w:szCs w:val="24"/>
        </w:rPr>
        <w:t>academic terms.  The didactic (lecture) component is covered in 16 sessions during the 1</w:t>
      </w:r>
      <w:r w:rsidRPr="00E30F22">
        <w:rPr>
          <w:rFonts w:ascii="Calibri" w:eastAsia="Times New Roman" w:hAnsi="Calibri" w:cs="Times New Roman"/>
          <w:color w:val="000000"/>
          <w:spacing w:val="-3"/>
          <w:sz w:val="24"/>
          <w:szCs w:val="24"/>
          <w:vertAlign w:val="superscript"/>
        </w:rPr>
        <w:t>st</w:t>
      </w:r>
      <w:r w:rsidRPr="00E30F22">
        <w:rPr>
          <w:rFonts w:ascii="Calibri" w:eastAsia="Times New Roman" w:hAnsi="Calibri" w:cs="Times New Roman"/>
          <w:color w:val="000000"/>
          <w:spacing w:val="-3"/>
          <w:sz w:val="24"/>
          <w:szCs w:val="24"/>
        </w:rPr>
        <w:t> half of the academic year.  The lectures cover the theoretical background and the different modalities in prosthodontics.  During the entire academic year there will be a weekly three-hour clinical session, with assistance from the college central dental laboratory.</w:t>
      </w:r>
    </w:p>
    <w:p w:rsidR="00E30F22" w:rsidRPr="00E30F22" w:rsidRDefault="00E30F22" w:rsidP="00E30F22">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p w:rsidR="00E30F22" w:rsidRPr="00E30F22" w:rsidRDefault="00E30F22" w:rsidP="00E30F22">
      <w:pPr>
        <w:bidi w:val="0"/>
        <w:spacing w:before="240" w:after="100" w:afterAutospacing="1" w:line="360" w:lineRule="atLeast"/>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rPr>
        <w:t>CREDIT HOURS:   3 Credit Hours</w:t>
      </w:r>
    </w:p>
    <w:p w:rsidR="00E30F22" w:rsidRPr="00E30F22" w:rsidRDefault="00E30F22" w:rsidP="00E30F22">
      <w:pPr>
        <w:numPr>
          <w:ilvl w:val="0"/>
          <w:numId w:val="1"/>
        </w:numPr>
        <w:bidi w:val="0"/>
        <w:spacing w:before="100" w:beforeAutospacing="1" w:after="100" w:afterAutospacing="1" w:line="360" w:lineRule="atLeast"/>
        <w:jc w:val="both"/>
        <w:rPr>
          <w:rFonts w:ascii="Verdana" w:eastAsia="Times New Roman" w:hAnsi="Verdana" w:cs="Times New Roman"/>
          <w:color w:val="808080"/>
          <w:sz w:val="17"/>
          <w:szCs w:val="17"/>
        </w:rPr>
      </w:pPr>
      <w:r w:rsidRPr="00E30F22">
        <w:rPr>
          <w:rFonts w:ascii="Calibri" w:eastAsia="Times New Roman" w:hAnsi="Calibri" w:cs="Times New Roman"/>
          <w:color w:val="000000"/>
          <w:spacing w:val="-3"/>
          <w:sz w:val="24"/>
          <w:szCs w:val="24"/>
        </w:rPr>
        <w:t>One (1) credit hour: One (1) Hour lecture weekly for one semester</w:t>
      </w:r>
    </w:p>
    <w:p w:rsidR="00E30F22" w:rsidRPr="00E30F22" w:rsidRDefault="00E30F22" w:rsidP="00E30F22">
      <w:pPr>
        <w:numPr>
          <w:ilvl w:val="0"/>
          <w:numId w:val="1"/>
        </w:numPr>
        <w:bidi w:val="0"/>
        <w:spacing w:before="100" w:beforeAutospacing="1" w:after="100" w:afterAutospacing="1" w:line="360" w:lineRule="atLeast"/>
        <w:jc w:val="both"/>
        <w:rPr>
          <w:rFonts w:ascii="Verdana" w:eastAsia="Times New Roman" w:hAnsi="Verdana" w:cs="Times New Roman"/>
          <w:color w:val="808080"/>
          <w:sz w:val="17"/>
          <w:szCs w:val="17"/>
        </w:rPr>
      </w:pPr>
      <w:r w:rsidRPr="00E30F22">
        <w:rPr>
          <w:rFonts w:ascii="Calibri" w:eastAsia="Times New Roman" w:hAnsi="Calibri" w:cs="Times New Roman"/>
          <w:color w:val="000000"/>
          <w:spacing w:val="-3"/>
          <w:sz w:val="24"/>
          <w:szCs w:val="24"/>
        </w:rPr>
        <w:t>Two (2) credit hour: Three (3) Hour Clinical weekly for two semesters</w:t>
      </w:r>
    </w:p>
    <w:p w:rsidR="00E30F22" w:rsidRPr="00E30F22" w:rsidRDefault="00E30F22" w:rsidP="00E30F22">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 </w:t>
      </w:r>
    </w:p>
    <w:p w:rsidR="00E30F22" w:rsidRPr="00E30F22" w:rsidRDefault="00E30F22" w:rsidP="00E30F22">
      <w:pPr>
        <w:bidi w:val="0"/>
        <w:spacing w:before="100" w:beforeAutospacing="1" w:after="100" w:afterAutospacing="1" w:line="240" w:lineRule="atLeast"/>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rPr>
        <w:lastRenderedPageBreak/>
        <w:t>COURSE OBJECTIVES:</w:t>
      </w:r>
    </w:p>
    <w:p w:rsidR="00E30F22" w:rsidRPr="00E30F22" w:rsidRDefault="00E30F22" w:rsidP="00E30F22">
      <w:pPr>
        <w:bidi w:val="0"/>
        <w:spacing w:before="100" w:beforeAutospacing="1" w:after="100" w:afterAutospacing="1"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1.</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The fourth year students will be reinforced and enriched in his/her previous experiences with the didactic and clinical disciplines of Removable Prosthodontic Sciences.</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2.</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The students will be exposed to a finer insight into the examination, diagnosis, treatment planning and technical procedures in the art &amp; science of Prosthodontics, while treating patients.</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3.</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It is expected that after the completion of the course, the students will be in a better position to render a scientifically acceptable diagnosis, treatment planning and treatment for his/her patients, requiring removable complete, partial, and immediate dentures.  It is also expected that the student will demonstrate proficient skills in his/her clinical treatment with minimum assistance from his/her instructor.</w:t>
      </w:r>
    </w:p>
    <w:p w:rsidR="00E30F22" w:rsidRPr="00E30F22" w:rsidRDefault="00E30F22" w:rsidP="00E30F22">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 </w:t>
      </w:r>
    </w:p>
    <w:p w:rsidR="00E30F22" w:rsidRPr="00E30F22" w:rsidRDefault="00E30F22" w:rsidP="00E30F22">
      <w:pPr>
        <w:bidi w:val="0"/>
        <w:spacing w:before="100" w:beforeAutospacing="1" w:after="100" w:afterAutospacing="1" w:line="240" w:lineRule="atLeast"/>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rPr>
        <w:t>COURSE METHODOLOGY:</w:t>
      </w:r>
    </w:p>
    <w:p w:rsidR="00E30F22" w:rsidRPr="00E30F22" w:rsidRDefault="00E30F22" w:rsidP="00E30F22">
      <w:pPr>
        <w:bidi w:val="0"/>
        <w:spacing w:before="100" w:beforeAutospacing="1" w:after="100" w:afterAutospacing="1" w:line="240" w:lineRule="auto"/>
        <w:ind w:left="720" w:hanging="360"/>
        <w:jc w:val="both"/>
        <w:rPr>
          <w:rFonts w:ascii="Times New Roman" w:eastAsia="Times New Roman" w:hAnsi="Times New Roman" w:cs="Times New Roman"/>
          <w:color w:val="808080"/>
          <w:sz w:val="24"/>
          <w:szCs w:val="24"/>
        </w:rPr>
      </w:pPr>
      <w:r w:rsidRPr="00E30F22">
        <w:rPr>
          <w:rFonts w:ascii="Symbol" w:eastAsia="Times New Roman" w:hAnsi="Symbol" w:cs="Times New Roman"/>
          <w:color w:val="000000"/>
          <w:spacing w:val="-3"/>
          <w:sz w:val="24"/>
          <w:szCs w:val="24"/>
        </w:rPr>
        <w:t></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The student will attend one clinical session and one lecture session in the first half of the year, and one clinical session in the second half of the year. The student is expected to still be present during all sessions or to be officially excused by his/her instructor.</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Symbol" w:eastAsia="Times New Roman" w:hAnsi="Symbol" w:cs="Times New Roman"/>
          <w:color w:val="000000"/>
          <w:spacing w:val="-3"/>
          <w:sz w:val="24"/>
          <w:szCs w:val="24"/>
        </w:rPr>
        <w:t></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At the beginning of the year, the student will be assigned patients, and his assigned instructor will be responsible for the supervision of the student in his/her clinical session.</w:t>
      </w:r>
    </w:p>
    <w:p w:rsidR="00E30F22" w:rsidRPr="00E30F22" w:rsidRDefault="00E30F22" w:rsidP="00E30F22">
      <w:pPr>
        <w:bidi w:val="0"/>
        <w:spacing w:before="100" w:beforeAutospacing="1" w:after="100" w:afterAutospacing="1" w:line="240" w:lineRule="auto"/>
        <w:ind w:left="720" w:hanging="360"/>
        <w:jc w:val="both"/>
        <w:rPr>
          <w:rFonts w:ascii="Times New Roman" w:eastAsia="Times New Roman" w:hAnsi="Times New Roman" w:cs="Times New Roman"/>
          <w:color w:val="808080"/>
          <w:sz w:val="24"/>
          <w:szCs w:val="24"/>
        </w:rPr>
      </w:pPr>
      <w:r w:rsidRPr="00E30F22">
        <w:rPr>
          <w:rFonts w:ascii="Symbol" w:eastAsia="Times New Roman" w:hAnsi="Symbol" w:cs="Times New Roman"/>
          <w:color w:val="000000"/>
          <w:spacing w:val="-3"/>
          <w:sz w:val="24"/>
          <w:szCs w:val="24"/>
        </w:rPr>
        <w:t></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References for each lecture will be submitted at the end of the lecture.</w:t>
      </w:r>
    </w:p>
    <w:p w:rsidR="00E30F22" w:rsidRPr="00E30F22" w:rsidRDefault="00E30F22" w:rsidP="00E30F22">
      <w:pPr>
        <w:bidi w:val="0"/>
        <w:spacing w:before="100" w:beforeAutospacing="1" w:after="100" w:afterAutospacing="1" w:line="240" w:lineRule="auto"/>
        <w:ind w:left="720" w:hanging="360"/>
        <w:jc w:val="both"/>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p w:rsidR="00E30F22" w:rsidRPr="00E30F22" w:rsidRDefault="00E30F22" w:rsidP="00E30F22">
      <w:pPr>
        <w:bidi w:val="0"/>
        <w:spacing w:before="240" w:after="100" w:afterAutospacing="1" w:line="240" w:lineRule="atLeast"/>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rPr>
        <w:t>COURSE REQUIREMENTS:</w:t>
      </w:r>
    </w:p>
    <w:p w:rsidR="00E30F22" w:rsidRPr="00E30F22" w:rsidRDefault="00E30F22" w:rsidP="00E30F22">
      <w:pPr>
        <w:bidi w:val="0"/>
        <w:spacing w:before="100" w:beforeAutospacing="1" w:after="100" w:afterAutospacing="1"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1.</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Regularity, punctuality &amp; adherence to college didactic &amp; clinical regulation in treating patients must be strictly observed.</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2.</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Your instructor will continually monitor your clinical skills, behavior and patient management.</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3.</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A minimum of 8 arches must be completed, during the course of one (1) clinical session per week, by the end of the academic year. </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4.</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Out of the total 8 minimum arches:</w:t>
      </w:r>
    </w:p>
    <w:p w:rsidR="00E30F22" w:rsidRPr="00E30F22" w:rsidRDefault="00E30F22" w:rsidP="00E30F22">
      <w:pPr>
        <w:bidi w:val="0"/>
        <w:spacing w:before="100" w:beforeAutospacing="1" w:after="100" w:afterAutospacing="1" w:line="240" w:lineRule="auto"/>
        <w:ind w:left="1800" w:hanging="720"/>
        <w:rPr>
          <w:rFonts w:ascii="Times New Roman" w:eastAsia="Times New Roman" w:hAnsi="Times New Roman" w:cs="Times New Roman"/>
          <w:color w:val="808080"/>
          <w:sz w:val="24"/>
          <w:szCs w:val="24"/>
        </w:rPr>
      </w:pPr>
      <w:r w:rsidRPr="00E30F22">
        <w:rPr>
          <w:rFonts w:ascii="Symbol" w:eastAsia="Times New Roman" w:hAnsi="Symbol" w:cs="Times New Roman"/>
          <w:color w:val="000000"/>
          <w:spacing w:val="-3"/>
          <w:sz w:val="24"/>
          <w:szCs w:val="24"/>
        </w:rPr>
        <w:t></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4 arches - Removable Partial Dentures (RPD)  </w:t>
      </w:r>
    </w:p>
    <w:p w:rsidR="00E30F22" w:rsidRPr="00E30F22" w:rsidRDefault="00E30F22" w:rsidP="00E30F22">
      <w:pPr>
        <w:bidi w:val="0"/>
        <w:spacing w:before="100" w:beforeAutospacing="1" w:after="100" w:afterAutospacing="1" w:line="240" w:lineRule="auto"/>
        <w:ind w:left="1800" w:hanging="720"/>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lastRenderedPageBreak/>
        <w:t>- One RPD with altered cast impression technique. </w:t>
      </w:r>
    </w:p>
    <w:p w:rsidR="00E30F22" w:rsidRPr="00E30F22" w:rsidRDefault="00E30F22" w:rsidP="00E30F22">
      <w:pPr>
        <w:bidi w:val="0"/>
        <w:spacing w:before="100" w:beforeAutospacing="1" w:after="100" w:afterAutospacing="1" w:line="240" w:lineRule="auto"/>
        <w:ind w:left="1800" w:hanging="720"/>
        <w:rPr>
          <w:rFonts w:ascii="Times New Roman" w:eastAsia="Times New Roman" w:hAnsi="Times New Roman" w:cs="Times New Roman"/>
          <w:color w:val="808080"/>
          <w:sz w:val="24"/>
          <w:szCs w:val="24"/>
        </w:rPr>
      </w:pPr>
      <w:r w:rsidRPr="00E30F22">
        <w:rPr>
          <w:rFonts w:ascii="Symbol" w:eastAsia="Times New Roman" w:hAnsi="Symbol" w:cs="Times New Roman"/>
          <w:color w:val="000000"/>
          <w:spacing w:val="-3"/>
          <w:sz w:val="24"/>
          <w:szCs w:val="24"/>
        </w:rPr>
        <w:t></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2 arches - Complete Dentures (CD)   </w:t>
      </w:r>
    </w:p>
    <w:p w:rsidR="00E30F22" w:rsidRPr="00E30F22" w:rsidRDefault="00E30F22" w:rsidP="00E30F22">
      <w:pPr>
        <w:bidi w:val="0"/>
        <w:spacing w:before="100" w:beforeAutospacing="1" w:after="100" w:afterAutospacing="1" w:line="240" w:lineRule="auto"/>
        <w:ind w:left="1080"/>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 Patient Clinical Remount of Complete Dentures</w:t>
      </w:r>
    </w:p>
    <w:p w:rsidR="00E30F22" w:rsidRPr="00E30F22" w:rsidRDefault="00E30F22" w:rsidP="00E30F22">
      <w:pPr>
        <w:bidi w:val="0"/>
        <w:spacing w:before="100" w:beforeAutospacing="1" w:after="100" w:afterAutospacing="1" w:line="240" w:lineRule="auto"/>
        <w:ind w:left="1800" w:hanging="720"/>
        <w:rPr>
          <w:rFonts w:ascii="Times New Roman" w:eastAsia="Times New Roman" w:hAnsi="Times New Roman" w:cs="Times New Roman"/>
          <w:color w:val="808080"/>
          <w:sz w:val="24"/>
          <w:szCs w:val="24"/>
        </w:rPr>
      </w:pPr>
      <w:r w:rsidRPr="00E30F22">
        <w:rPr>
          <w:rFonts w:ascii="Symbol" w:eastAsia="Times New Roman" w:hAnsi="Symbol" w:cs="Times New Roman"/>
          <w:color w:val="000000"/>
          <w:spacing w:val="-3"/>
          <w:sz w:val="24"/>
          <w:szCs w:val="24"/>
        </w:rPr>
        <w:t></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2 arches - Immediate, transitional or interim dentures or relining/ rebasing.</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5.</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During the academic year, each student will have two continuous oral assessments during his clinical session. Before each clinical session each student should be prepared to understand the theoretical and clinical steps for the actual clinical procedures to be accomplished on his patient.</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6.</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For each patient, the treatment plan form and the prostheses insertion visit (patient's file) will require two signatures:  the Instructor and the Course Director. The Instructor will also sign the Summary Form of Accomplishment of Clinical Procedures at the insertion visit. (See attachment 11, page 41)</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7.</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At the end of each semester, each student must turn in his SDS Summary of Clinical Work Form, listing each patient work performed and initialed by his Instructor. Late turn-in of this form will result in a grade reduction.</w:t>
      </w:r>
    </w:p>
    <w:p w:rsidR="00E30F22" w:rsidRPr="00E30F22" w:rsidRDefault="00E30F22" w:rsidP="00E30F22">
      <w:pPr>
        <w:bidi w:val="0"/>
        <w:spacing w:before="100" w:beforeAutospacing="1" w:after="100" w:afterAutospacing="1" w:line="240" w:lineRule="atLeast"/>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rPr>
        <w:t> </w:t>
      </w:r>
    </w:p>
    <w:p w:rsidR="00E30F22" w:rsidRPr="00E30F22" w:rsidRDefault="00E30F22" w:rsidP="00E30F22">
      <w:pPr>
        <w:bidi w:val="0"/>
        <w:spacing w:before="100" w:beforeAutospacing="1" w:after="100" w:afterAutospacing="1" w:line="240" w:lineRule="atLeast"/>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rPr>
        <w:t>CLINICAL PROTOCOL:</w:t>
      </w:r>
    </w:p>
    <w:p w:rsidR="00E30F22" w:rsidRPr="00E30F22" w:rsidRDefault="00E30F22" w:rsidP="00E30F22">
      <w:pPr>
        <w:bidi w:val="0"/>
        <w:spacing w:before="100" w:beforeAutospacing="1" w:after="100" w:afterAutospacing="1" w:line="240" w:lineRule="auto"/>
        <w:ind w:firstLine="72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z w:val="24"/>
          <w:szCs w:val="24"/>
        </w:rPr>
        <w:t>At the beginning of each clinical session, the instructor will evaluate the</w:t>
      </w:r>
      <w:r w:rsidRPr="00E30F22">
        <w:rPr>
          <w:rFonts w:ascii="Calibri" w:eastAsia="Times New Roman" w:hAnsi="Calibri" w:cs="Times New Roman"/>
          <w:color w:val="000000"/>
          <w:spacing w:val="-3"/>
          <w:sz w:val="24"/>
          <w:szCs w:val="24"/>
        </w:rPr>
        <w:t>student's theoretical knowledge part of the clinical procedure to be performed.  The student </w:t>
      </w:r>
      <w:r w:rsidRPr="00E30F22">
        <w:rPr>
          <w:rFonts w:ascii="Calibri" w:eastAsia="Times New Roman" w:hAnsi="Calibri" w:cs="Times New Roman"/>
          <w:color w:val="000000"/>
          <w:spacing w:val="-3"/>
          <w:sz w:val="24"/>
          <w:szCs w:val="24"/>
          <w:u w:val="single"/>
        </w:rPr>
        <w:t>must know</w:t>
      </w:r>
      <w:r w:rsidRPr="00E30F22">
        <w:rPr>
          <w:rFonts w:ascii="Calibri" w:eastAsia="Times New Roman" w:hAnsi="Calibri" w:cs="Times New Roman"/>
          <w:color w:val="000000"/>
          <w:spacing w:val="-3"/>
          <w:sz w:val="24"/>
          <w:szCs w:val="24"/>
        </w:rPr>
        <w:t> the theoretical background of that procedure; otherwise he/she</w:t>
      </w:r>
      <w:r w:rsidRPr="00E30F22">
        <w:rPr>
          <w:rFonts w:ascii="Calibri" w:eastAsia="Times New Roman" w:hAnsi="Calibri" w:cs="Times New Roman"/>
          <w:color w:val="000000"/>
          <w:spacing w:val="-3"/>
          <w:sz w:val="24"/>
          <w:szCs w:val="24"/>
          <w:u w:val="single"/>
        </w:rPr>
        <w:t>should not proceed</w:t>
      </w:r>
      <w:r w:rsidRPr="00E30F22">
        <w:rPr>
          <w:rFonts w:ascii="Calibri" w:eastAsia="Times New Roman" w:hAnsi="Calibri" w:cs="Times New Roman"/>
          <w:color w:val="000000"/>
          <w:spacing w:val="-3"/>
          <w:sz w:val="24"/>
          <w:szCs w:val="24"/>
        </w:rPr>
        <w:t>.</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1.</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A minimum of two patients will be assigned for each student at the first half of the year and their clinical treatment should be completed within the prescribed clinical time allotted, with mutual consent of the instructor.</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2.</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The students should strive to perform the clinical procedures independently and take minimum assistance from the instructor in order to score a good grade.</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3.</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The student should maintain discipline with regards to attending the clinic sessions on time, and is expected to maintain a good rapport with his patients, colleagues and instructor alike.</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4.</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The student must always observe cleanliness and neatness in appearance and wear their proper clinical gowns during the clinical session; otherwise they will not be allowed to perform their clinical procedures.</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5.</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 xml:space="preserve">It is the responsibility of the student to complete the patient's permanent file, indicating all the relevant information and to obtain the signature of the instructor. A temporary file is not acceptable. The patient's file, without the </w:t>
      </w:r>
      <w:r w:rsidRPr="00E30F22">
        <w:rPr>
          <w:rFonts w:ascii="Calibri" w:eastAsia="Times New Roman" w:hAnsi="Calibri" w:cs="Times New Roman"/>
          <w:color w:val="000000"/>
          <w:spacing w:val="-3"/>
          <w:sz w:val="24"/>
          <w:szCs w:val="24"/>
        </w:rPr>
        <w:lastRenderedPageBreak/>
        <w:t>signature of the assigned instructor, shall be considered as an incomplete clinical procedure, and will affect your daily grade.</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6.</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The dental laboratory authorization form should be filled out by the student and should be duly signed by the instructor.  Good rapport with laboratory personnel should be maintained (Please see sample work sheet attachment # 9 &amp; 10).</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7.</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In a situation where the patient is unable to attend the clinic, the student should immediately notify their instructor. Students should attend the clinic session despite the absence of their patients.</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8.</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Attendance rules and regulations are to be applied during both clinic and didactic sessions of this course.</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9.</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All previously mentioned protocols are to be followed.  Otherwise, the clinical grading will be affected negatively.</w:t>
      </w:r>
    </w:p>
    <w:p w:rsidR="00E30F22" w:rsidRPr="00E30F22" w:rsidRDefault="00E30F22" w:rsidP="00E30F22">
      <w:pPr>
        <w:bidi w:val="0"/>
        <w:spacing w:before="120" w:after="0" w:line="240" w:lineRule="auto"/>
        <w:ind w:left="720" w:hanging="360"/>
        <w:jc w:val="both"/>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p w:rsidR="00E30F22" w:rsidRPr="00E30F22" w:rsidRDefault="00E30F22" w:rsidP="00E30F22">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rPr>
        <w:t>COURSE EVALUATION:</w:t>
      </w:r>
    </w:p>
    <w:p w:rsidR="00E30F22" w:rsidRPr="00E30F22" w:rsidRDefault="00E30F22" w:rsidP="00E30F22">
      <w:pPr>
        <w:bidi w:val="0"/>
        <w:spacing w:before="120"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            In order to receive a passing grade for course SDS 421, the student </w:t>
      </w:r>
      <w:r w:rsidRPr="00E30F22">
        <w:rPr>
          <w:rFonts w:ascii="Calibri" w:eastAsia="Times New Roman" w:hAnsi="Calibri" w:cs="Times New Roman"/>
          <w:b/>
          <w:bCs/>
          <w:color w:val="000000"/>
          <w:spacing w:val="-3"/>
          <w:sz w:val="24"/>
          <w:szCs w:val="24"/>
          <w:u w:val="single"/>
        </w:rPr>
        <w:t>must</w:t>
      </w:r>
      <w:r w:rsidRPr="00E30F22">
        <w:rPr>
          <w:rFonts w:ascii="Calibri" w:eastAsia="Times New Roman" w:hAnsi="Calibri" w:cs="Times New Roman"/>
          <w:color w:val="000000"/>
          <w:spacing w:val="-3"/>
          <w:sz w:val="24"/>
          <w:szCs w:val="24"/>
        </w:rPr>
        <w:t> pass both the didactic and the clinical parts separately.</w:t>
      </w:r>
    </w:p>
    <w:p w:rsidR="00E30F22" w:rsidRPr="00E30F22" w:rsidRDefault="00E30F22" w:rsidP="00E30F22">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I.</w:t>
      </w:r>
      <w:r w:rsidRPr="00E30F22">
        <w:rPr>
          <w:rFonts w:ascii="Calibri" w:eastAsia="Times New Roman" w:hAnsi="Calibri" w:cs="Times New Roman"/>
          <w:b/>
          <w:bCs/>
          <w:color w:val="000000"/>
          <w:spacing w:val="-3"/>
          <w:sz w:val="24"/>
          <w:szCs w:val="24"/>
        </w:rPr>
        <w:t>          Continuous Assessment (60%)</w:t>
      </w:r>
    </w:p>
    <w:p w:rsidR="00E30F22" w:rsidRPr="00E30F22" w:rsidRDefault="00E30F22" w:rsidP="00E30F22">
      <w:pPr>
        <w:bidi w:val="0"/>
        <w:spacing w:before="120"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            The percentage of grades will be as follows:</w:t>
      </w:r>
    </w:p>
    <w:p w:rsidR="00E30F22" w:rsidRPr="00E30F22" w:rsidRDefault="00E30F22" w:rsidP="00E30F22">
      <w:pPr>
        <w:bidi w:val="0"/>
        <w:spacing w:before="120" w:after="0" w:line="240" w:lineRule="auto"/>
        <w:ind w:left="1440" w:hanging="360"/>
        <w:jc w:val="both"/>
        <w:rPr>
          <w:rFonts w:ascii="Times New Roman" w:eastAsia="Times New Roman" w:hAnsi="Times New Roman" w:cs="Times New Roman"/>
          <w:color w:val="808080"/>
          <w:sz w:val="24"/>
          <w:szCs w:val="24"/>
        </w:rPr>
      </w:pPr>
      <w:r w:rsidRPr="00E30F22">
        <w:rPr>
          <w:rFonts w:ascii="Symbol" w:eastAsia="Times New Roman" w:hAnsi="Symbol" w:cs="Times New Roman"/>
          <w:color w:val="000000"/>
          <w:spacing w:val="-3"/>
          <w:sz w:val="24"/>
          <w:szCs w:val="24"/>
        </w:rPr>
        <w:t></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One Continuous Assessment </w:t>
      </w:r>
      <w:r w:rsidRPr="00E30F22">
        <w:rPr>
          <w:rFonts w:ascii="Calibri" w:eastAsia="Times New Roman" w:hAnsi="Calibri" w:cs="Times New Roman"/>
          <w:b/>
          <w:bCs/>
          <w:color w:val="000000"/>
          <w:spacing w:val="-3"/>
          <w:sz w:val="24"/>
          <w:szCs w:val="24"/>
        </w:rPr>
        <w:t>(1 Exam)      = 10%</w:t>
      </w:r>
    </w:p>
    <w:p w:rsidR="00E30F22" w:rsidRPr="00E30F22" w:rsidRDefault="00E30F22" w:rsidP="00E30F22">
      <w:pPr>
        <w:bidi w:val="0"/>
        <w:spacing w:before="100" w:beforeAutospacing="1" w:after="100" w:afterAutospacing="1" w:line="240" w:lineRule="auto"/>
        <w:ind w:left="108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      (Mid – term written examination)</w:t>
      </w:r>
    </w:p>
    <w:p w:rsidR="00E30F22" w:rsidRPr="00E30F22" w:rsidRDefault="00E30F22" w:rsidP="00E30F22">
      <w:pPr>
        <w:bidi w:val="0"/>
        <w:spacing w:after="0" w:line="240" w:lineRule="auto"/>
        <w:ind w:left="1440" w:right="-900" w:hanging="360"/>
        <w:jc w:val="both"/>
        <w:rPr>
          <w:rFonts w:ascii="Times New Roman" w:eastAsia="Times New Roman" w:hAnsi="Times New Roman" w:cs="Times New Roman"/>
          <w:color w:val="808080"/>
          <w:sz w:val="24"/>
          <w:szCs w:val="24"/>
        </w:rPr>
      </w:pPr>
      <w:r w:rsidRPr="00E30F22">
        <w:rPr>
          <w:rFonts w:ascii="Symbol" w:eastAsia="Times New Roman" w:hAnsi="Symbol" w:cs="Times New Roman"/>
          <w:color w:val="000000"/>
          <w:spacing w:val="-3"/>
          <w:sz w:val="24"/>
          <w:szCs w:val="24"/>
        </w:rPr>
        <w:t></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Clinical Sessions</w:t>
      </w:r>
      <w:r w:rsidRPr="00E30F22">
        <w:rPr>
          <w:rFonts w:ascii="Calibri" w:eastAsia="Times New Roman" w:hAnsi="Calibri" w:cs="Times New Roman"/>
          <w:b/>
          <w:bCs/>
          <w:color w:val="000000"/>
          <w:spacing w:val="-3"/>
          <w:sz w:val="24"/>
          <w:szCs w:val="24"/>
        </w:rPr>
        <w:t> </w:t>
      </w:r>
      <w:r w:rsidRPr="00E30F22">
        <w:rPr>
          <w:rFonts w:ascii="Calibri" w:eastAsia="Times New Roman" w:hAnsi="Calibri" w:cs="Times New Roman"/>
          <w:color w:val="000000"/>
          <w:spacing w:val="-3"/>
          <w:sz w:val="24"/>
          <w:szCs w:val="24"/>
        </w:rPr>
        <w:t>(1st &amp; 2nd Sem.)</w:t>
      </w:r>
      <w:r w:rsidRPr="00E30F22">
        <w:rPr>
          <w:rFonts w:ascii="Calibri" w:eastAsia="Times New Roman" w:hAnsi="Calibri" w:cs="Times New Roman"/>
          <w:b/>
          <w:bCs/>
          <w:color w:val="000000"/>
          <w:spacing w:val="-3"/>
          <w:sz w:val="24"/>
          <w:szCs w:val="24"/>
        </w:rPr>
        <w:t>         = 40%</w:t>
      </w:r>
    </w:p>
    <w:p w:rsidR="00E30F22" w:rsidRPr="00E30F22" w:rsidRDefault="00E30F22" w:rsidP="00E30F22">
      <w:pPr>
        <w:bidi w:val="0"/>
        <w:spacing w:before="100" w:beforeAutospacing="1" w:after="100" w:afterAutospacing="1" w:line="240" w:lineRule="auto"/>
        <w:ind w:left="1440" w:hanging="360"/>
        <w:jc w:val="both"/>
        <w:rPr>
          <w:rFonts w:ascii="Times New Roman" w:eastAsia="Times New Roman" w:hAnsi="Times New Roman" w:cs="Times New Roman"/>
          <w:color w:val="808080"/>
          <w:sz w:val="24"/>
          <w:szCs w:val="24"/>
        </w:rPr>
      </w:pPr>
      <w:r w:rsidRPr="00E30F22">
        <w:rPr>
          <w:rFonts w:ascii="Symbol" w:eastAsia="Times New Roman" w:hAnsi="Symbol" w:cs="Times New Roman"/>
          <w:color w:val="000000"/>
          <w:spacing w:val="-3"/>
          <w:sz w:val="24"/>
          <w:szCs w:val="24"/>
        </w:rPr>
        <w:t></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Two Continuous Oral Assessments</w:t>
      </w:r>
      <w:r w:rsidRPr="00E30F22">
        <w:rPr>
          <w:rFonts w:ascii="Calibri" w:eastAsia="Times New Roman" w:hAnsi="Calibri" w:cs="Times New Roman"/>
          <w:b/>
          <w:bCs/>
          <w:color w:val="000000"/>
          <w:spacing w:val="-3"/>
          <w:sz w:val="24"/>
          <w:szCs w:val="24"/>
        </w:rPr>
        <w:t>        = 10%</w:t>
      </w:r>
    </w:p>
    <w:p w:rsidR="00E30F22" w:rsidRPr="00E30F22" w:rsidRDefault="00E30F22" w:rsidP="00E30F22">
      <w:pPr>
        <w:bidi w:val="0"/>
        <w:spacing w:before="100" w:beforeAutospacing="1" w:after="100" w:afterAutospacing="1" w:line="240" w:lineRule="auto"/>
        <w:ind w:left="720" w:hanging="72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           </w:t>
      </w:r>
    </w:p>
    <w:p w:rsidR="00E30F22" w:rsidRPr="00E30F22" w:rsidRDefault="00E30F22" w:rsidP="00E30F22">
      <w:pPr>
        <w:bidi w:val="0"/>
        <w:spacing w:before="100" w:beforeAutospacing="1" w:after="100" w:afterAutospacing="1" w:line="240" w:lineRule="auto"/>
        <w:ind w:left="720" w:firstLine="72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Two Oral Continuous Examinations will be conducted by the Course Director during the clinical sessions and distributed as follows;</w:t>
      </w:r>
    </w:p>
    <w:p w:rsidR="00E30F22" w:rsidRPr="00E30F22" w:rsidRDefault="00E30F22" w:rsidP="00E30F22">
      <w:pPr>
        <w:bidi w:val="0"/>
        <w:spacing w:before="120"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rPr>
        <w:t>                        5%</w:t>
      </w:r>
      <w:r w:rsidRPr="00E30F22">
        <w:rPr>
          <w:rFonts w:ascii="Calibri" w:eastAsia="Times New Roman" w:hAnsi="Calibri" w:cs="Times New Roman"/>
          <w:color w:val="000000"/>
          <w:spacing w:val="-3"/>
          <w:sz w:val="24"/>
          <w:szCs w:val="24"/>
        </w:rPr>
        <w:t>      in the first semester</w:t>
      </w:r>
    </w:p>
    <w:p w:rsidR="00E30F22" w:rsidRPr="00E30F22" w:rsidRDefault="00E30F22" w:rsidP="00E30F22">
      <w:pPr>
        <w:bidi w:val="0"/>
        <w:spacing w:before="100" w:beforeAutospacing="1"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b/>
          <w:bCs/>
          <w:color w:val="000000"/>
          <w:spacing w:val="-3"/>
          <w:sz w:val="24"/>
          <w:szCs w:val="24"/>
        </w:rPr>
        <w:t>                        5%</w:t>
      </w:r>
      <w:r w:rsidRPr="00E30F22">
        <w:rPr>
          <w:rFonts w:ascii="Calibri" w:eastAsia="Times New Roman" w:hAnsi="Calibri" w:cs="Times New Roman"/>
          <w:color w:val="000000"/>
          <w:spacing w:val="-3"/>
          <w:sz w:val="24"/>
          <w:szCs w:val="24"/>
        </w:rPr>
        <w:t>      in the second semester</w:t>
      </w:r>
    </w:p>
    <w:p w:rsidR="00E30F22" w:rsidRPr="00E30F22" w:rsidRDefault="00E30F22" w:rsidP="00E30F22">
      <w:pPr>
        <w:bidi w:val="0"/>
        <w:spacing w:before="120" w:after="0" w:line="240" w:lineRule="auto"/>
        <w:ind w:left="720" w:firstLine="72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On each patient, the student is required to perform the following for diagnosis and treatment planning: (1) Radiographic evaluation, (2) Record history, (3) Clinical exam, (4) TMD Screening, (5) Diagnostic impressions and mounted casts, if requested, and (5) Formulate a written treatment plan.</w:t>
      </w:r>
    </w:p>
    <w:p w:rsidR="00E30F22" w:rsidRPr="00E30F22" w:rsidRDefault="00E30F22" w:rsidP="00E30F22">
      <w:pPr>
        <w:bidi w:val="0"/>
        <w:spacing w:before="120" w:after="0" w:line="240" w:lineRule="auto"/>
        <w:ind w:left="720" w:firstLine="72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lastRenderedPageBreak/>
        <w:t>The treatment plan is to be discussed with his instructor and the student will be evaluated accordingly (see SDS Clinical Evaluation and Procedure Form, Steps 1 and 2). Both the clinical Instructor and the Course Director will sign the final treatment plan form in the patient's file.</w:t>
      </w:r>
    </w:p>
    <w:p w:rsidR="00E30F22" w:rsidRPr="00E30F22" w:rsidRDefault="00E30F22" w:rsidP="00E30F22">
      <w:pPr>
        <w:bidi w:val="0"/>
        <w:spacing w:before="120" w:after="0" w:line="240" w:lineRule="auto"/>
        <w:ind w:left="720" w:firstLine="72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Each student must fulfill the minimum treatment requirements of the course (8 units).  The quality of treatment for each clinical step provided will be of primary concern in the assignment of the final grade. </w:t>
      </w:r>
    </w:p>
    <w:p w:rsidR="00E30F22" w:rsidRPr="00E30F22" w:rsidRDefault="00E30F22" w:rsidP="00E30F22">
      <w:pPr>
        <w:bidi w:val="0"/>
        <w:spacing w:before="120" w:after="0" w:line="240" w:lineRule="auto"/>
        <w:ind w:left="720" w:firstLine="72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The Clinical Evaluation Form will be strictly followed for each clinical procedure, and each step must be signed by the instructor during the session.           </w:t>
      </w:r>
    </w:p>
    <w:p w:rsidR="00E30F22" w:rsidRPr="00E30F22" w:rsidRDefault="00E30F22" w:rsidP="00E30F22">
      <w:pPr>
        <w:bidi w:val="0"/>
        <w:spacing w:before="240" w:after="100" w:afterAutospacing="1" w:line="240" w:lineRule="auto"/>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  II.</w:t>
      </w:r>
      <w:r w:rsidRPr="00E30F22">
        <w:rPr>
          <w:rFonts w:ascii="Calibri" w:eastAsia="Times New Roman" w:hAnsi="Calibri" w:cs="Times New Roman"/>
          <w:b/>
          <w:bCs/>
          <w:color w:val="000000"/>
          <w:spacing w:val="-3"/>
          <w:sz w:val="24"/>
          <w:szCs w:val="24"/>
        </w:rPr>
        <w:t>         Final Examination (40%)</w:t>
      </w:r>
    </w:p>
    <w:p w:rsidR="00E30F22" w:rsidRPr="00E30F22" w:rsidRDefault="00E30F22" w:rsidP="00E30F22">
      <w:pPr>
        <w:bidi w:val="0"/>
        <w:spacing w:before="120" w:after="0" w:line="240" w:lineRule="auto"/>
        <w:ind w:left="108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1.</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Final Didactic Exam at the end of the</w:t>
      </w:r>
    </w:p>
    <w:p w:rsidR="00E30F22" w:rsidRPr="00E30F22" w:rsidRDefault="00E30F22" w:rsidP="00E30F22">
      <w:pPr>
        <w:bidi w:val="0"/>
        <w:spacing w:before="120" w:after="0" w:line="240" w:lineRule="auto"/>
        <w:ind w:left="180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1.</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First Semester or Second Semester = </w:t>
      </w:r>
      <w:r w:rsidRPr="00E30F22">
        <w:rPr>
          <w:rFonts w:ascii="Calibri" w:eastAsia="Times New Roman" w:hAnsi="Calibri" w:cs="Times New Roman"/>
          <w:b/>
          <w:bCs/>
          <w:color w:val="000000"/>
          <w:spacing w:val="-3"/>
          <w:sz w:val="24"/>
          <w:szCs w:val="24"/>
        </w:rPr>
        <w:t>30%</w:t>
      </w:r>
    </w:p>
    <w:p w:rsidR="00E30F22" w:rsidRPr="00E30F22" w:rsidRDefault="00E30F22" w:rsidP="00E30F22">
      <w:pPr>
        <w:bidi w:val="0"/>
        <w:spacing w:before="120" w:after="0" w:line="240" w:lineRule="auto"/>
        <w:ind w:left="108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2.</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Final Practical Examination</w:t>
      </w:r>
    </w:p>
    <w:p w:rsidR="00E30F22" w:rsidRPr="00E30F22" w:rsidRDefault="00E30F22" w:rsidP="00E30F22">
      <w:pPr>
        <w:bidi w:val="0"/>
        <w:spacing w:before="120" w:after="0" w:line="240" w:lineRule="auto"/>
        <w:ind w:left="1800" w:hanging="360"/>
        <w:jc w:val="both"/>
        <w:rPr>
          <w:rFonts w:ascii="Times New Roman" w:eastAsia="Times New Roman" w:hAnsi="Times New Roman" w:cs="Times New Roman"/>
          <w:color w:val="808080"/>
          <w:sz w:val="24"/>
          <w:szCs w:val="24"/>
        </w:rPr>
      </w:pPr>
      <w:r w:rsidRPr="00E30F22">
        <w:rPr>
          <w:rFonts w:ascii="Calibri" w:eastAsia="Times New Roman" w:hAnsi="Calibri" w:cs="Times New Roman"/>
          <w:color w:val="000000"/>
          <w:spacing w:val="-3"/>
          <w:sz w:val="24"/>
          <w:szCs w:val="24"/>
        </w:rPr>
        <w:t>2.</w:t>
      </w:r>
      <w:r w:rsidRPr="00E30F22">
        <w:rPr>
          <w:rFonts w:ascii="Times New Roman" w:eastAsia="Times New Roman" w:hAnsi="Times New Roman" w:cs="Times New Roman"/>
          <w:color w:val="000000"/>
          <w:spacing w:val="-3"/>
          <w:sz w:val="24"/>
          <w:szCs w:val="24"/>
        </w:rPr>
        <w:t>      </w:t>
      </w:r>
      <w:r w:rsidRPr="00E30F22">
        <w:rPr>
          <w:rFonts w:ascii="Calibri" w:eastAsia="Times New Roman" w:hAnsi="Calibri" w:cs="Times New Roman"/>
          <w:color w:val="000000"/>
          <w:spacing w:val="-3"/>
          <w:sz w:val="24"/>
          <w:szCs w:val="24"/>
        </w:rPr>
        <w:t>Second Semester = </w:t>
      </w:r>
      <w:r w:rsidRPr="00E30F22">
        <w:rPr>
          <w:rFonts w:ascii="Calibri" w:eastAsia="Times New Roman" w:hAnsi="Calibri" w:cs="Times New Roman"/>
          <w:b/>
          <w:bCs/>
          <w:color w:val="000000"/>
          <w:spacing w:val="-3"/>
          <w:sz w:val="24"/>
          <w:szCs w:val="24"/>
        </w:rPr>
        <w:t>10%</w:t>
      </w:r>
    </w:p>
    <w:p w:rsidR="00E30F22" w:rsidRPr="00E30F22" w:rsidRDefault="00E30F22" w:rsidP="00E30F22">
      <w:pPr>
        <w:bidi w:val="0"/>
        <w:spacing w:after="0" w:line="240" w:lineRule="auto"/>
        <w:rPr>
          <w:rFonts w:ascii="Verdana" w:eastAsia="Times New Roman" w:hAnsi="Verdana" w:cs="Times New Roman"/>
          <w:sz w:val="17"/>
          <w:szCs w:val="17"/>
        </w:rPr>
      </w:pPr>
      <w:r w:rsidRPr="00E30F22">
        <w:rPr>
          <w:rFonts w:ascii="Verdana" w:eastAsia="Times New Roman" w:hAnsi="Verdana" w:cs="Times New Roman"/>
          <w:color w:val="808080"/>
          <w:sz w:val="17"/>
        </w:rPr>
        <w:t> </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sz w:val="24"/>
          <w:szCs w:val="24"/>
        </w:rPr>
      </w:pPr>
      <w:r w:rsidRPr="00E30F22">
        <w:rPr>
          <w:rFonts w:ascii="Times New Roman" w:eastAsia="Times New Roman" w:hAnsi="Times New Roman" w:cs="Times New Roman"/>
          <w:b/>
          <w:bCs/>
          <w:color w:val="000000"/>
          <w:sz w:val="24"/>
          <w:szCs w:val="24"/>
        </w:rPr>
        <w:t>References:</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1. McNeill C (Ed.).Temporomandibular         </w:t>
      </w:r>
      <w:hyperlink r:id="rId5" w:tooltip="" w:history="1">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762125" cy="2305050"/>
              <wp:effectExtent l="19050" t="0" r="9525" b="0"/>
              <wp:wrapSquare wrapText="bothSides"/>
              <wp:docPr id="2" name="صورة 2" descr="http://faculty.ksu.edu.sa/alamri/PublishingImages/McNeill.jpg">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culty.ksu.edu.sa/alamri/PublishingImages/McNeill.jpg">
                        <a:hlinkClick r:id="rId5" tooltip="&quot;&quot;"/>
                      </pic:cNvPr>
                      <pic:cNvPicPr>
                        <a:picLocks noChangeAspect="1" noChangeArrowheads="1"/>
                      </pic:cNvPicPr>
                    </pic:nvPicPr>
                    <pic:blipFill>
                      <a:blip r:embed="rId6" cstate="print"/>
                      <a:srcRect/>
                      <a:stretch>
                        <a:fillRect/>
                      </a:stretch>
                    </pic:blipFill>
                    <pic:spPr bwMode="auto">
                      <a:xfrm>
                        <a:off x="0" y="0"/>
                        <a:ext cx="1762125" cy="2305050"/>
                      </a:xfrm>
                      <a:prstGeom prst="rect">
                        <a:avLst/>
                      </a:prstGeom>
                      <a:noFill/>
                      <a:ln w="9525">
                        <a:noFill/>
                        <a:miter lim="800000"/>
                        <a:headEnd/>
                        <a:tailEnd/>
                      </a:ln>
                    </pic:spPr>
                  </pic:pic>
                </a:graphicData>
              </a:graphic>
            </wp:anchor>
          </w:drawing>
        </w:r>
      </w:hyperlink>
      <w:r w:rsidRPr="00E30F22">
        <w:rPr>
          <w:rFonts w:ascii="Times New Roman" w:eastAsia="Times New Roman" w:hAnsi="Times New Roman" w:cs="Times New Roman"/>
          <w:color w:val="000000"/>
          <w:sz w:val="24"/>
          <w:szCs w:val="24"/>
        </w:rPr>
        <w:t>           </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Disorders-Guidelines for Classification,</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Assessment and Management.</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Quintessence, London, 1993, pages</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11-16, 19-22, 61-63.</w:t>
      </w:r>
    </w:p>
    <w:p w:rsidR="00E30F22" w:rsidRPr="00E30F22" w:rsidRDefault="00E30F22" w:rsidP="00E30F22">
      <w:pPr>
        <w:bidi w:val="0"/>
        <w:spacing w:before="100" w:beforeAutospacing="1" w:after="100" w:afterAutospacing="1" w:line="240" w:lineRule="auto"/>
        <w:jc w:val="right"/>
        <w:rPr>
          <w:rFonts w:ascii="Times New Roman" w:eastAsia="Times New Roman" w:hAnsi="Times New Roman" w:cs="Times New Roman"/>
          <w:color w:val="000000"/>
          <w:sz w:val="24"/>
          <w:szCs w:val="24"/>
        </w:rPr>
      </w:pPr>
      <w:r w:rsidRPr="00E30F22">
        <w:rPr>
          <w:rFonts w:ascii="Times New Roman" w:eastAsia="Times New Roman" w:hAnsi="Times New Roman" w:cs="Times New Roman"/>
          <w:color w:val="000000"/>
          <w:sz w:val="24"/>
          <w:szCs w:val="24"/>
        </w:rPr>
        <w:t> </w:t>
      </w:r>
    </w:p>
    <w:p w:rsidR="00E30F22" w:rsidRPr="00E30F22" w:rsidRDefault="00E30F22" w:rsidP="00E30F22">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 </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2. Zarb G, Bolender C, Hickey J, </w:t>
      </w:r>
      <w:hyperlink r:id="rId7" w:tooltip="" w:history="1">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2286000" cy="2286000"/>
              <wp:effectExtent l="19050" t="0" r="0" b="0"/>
              <wp:wrapSquare wrapText="bothSides"/>
              <wp:docPr id="3" name="صورة 3" descr="http://faculty.ksu.edu.sa/alamri/PublishingImages/Boucher.jpg">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ksu.edu.sa/alamri/PublishingImages/Boucher.jpg">
                        <a:hlinkClick r:id="rId7" tooltip="&quot;&quot;"/>
                      </pic:cNvPr>
                      <pic:cNvPicPr>
                        <a:picLocks noChangeAspect="1" noChangeArrowheads="1"/>
                      </pic:cNvPicPr>
                    </pic:nvPicPr>
                    <pic:blipFill>
                      <a:blip r:embed="rId8" cstate="print"/>
                      <a:srcRect/>
                      <a:stretch>
                        <a:fillRect/>
                      </a:stretch>
                    </pic:blipFill>
                    <pic:spPr bwMode="auto">
                      <a:xfrm>
                        <a:off x="0" y="0"/>
                        <a:ext cx="2286000" cy="2286000"/>
                      </a:xfrm>
                      <a:prstGeom prst="rect">
                        <a:avLst/>
                      </a:prstGeom>
                      <a:noFill/>
                      <a:ln w="9525">
                        <a:noFill/>
                        <a:miter lim="800000"/>
                        <a:headEnd/>
                        <a:tailEnd/>
                      </a:ln>
                    </pic:spPr>
                  </pic:pic>
                </a:graphicData>
              </a:graphic>
            </wp:anchor>
          </w:drawing>
        </w:r>
      </w:hyperlink>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Carlsson G: Boucher's     </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Prosthodontic Treatment for  </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Edentulous Patients, 10th</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Ed,  CV Mosby Co, Chicago,</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1990. pp. 38-46, 123-143, 194-</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lastRenderedPageBreak/>
        <w:t>204.</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3. Rahn A, Heartwell C.: Textbook</w:t>
      </w:r>
      <w:hyperlink r:id="rId9" w:tooltip="" w:history="1">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314575" cy="1790700"/>
              <wp:effectExtent l="19050" t="0" r="9525" b="0"/>
              <wp:wrapSquare wrapText="bothSides"/>
              <wp:docPr id="4" name="صورة 4" descr="http://faculty.ksu.edu.sa/alamri/PublishingImages/Textbook%20of%20complete%20dentures.jpg">
                <a:hlinkClick xmlns:a="http://schemas.openxmlformats.org/drawingml/2006/main" r:id="rId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culty.ksu.edu.sa/alamri/PublishingImages/Textbook%20of%20complete%20dentures.jpg">
                        <a:hlinkClick r:id="rId9" tooltip="&quot;&quot;"/>
                      </pic:cNvPr>
                      <pic:cNvPicPr>
                        <a:picLocks noChangeAspect="1" noChangeArrowheads="1"/>
                      </pic:cNvPicPr>
                    </pic:nvPicPr>
                    <pic:blipFill>
                      <a:blip r:embed="rId10" cstate="print"/>
                      <a:srcRect/>
                      <a:stretch>
                        <a:fillRect/>
                      </a:stretch>
                    </pic:blipFill>
                    <pic:spPr bwMode="auto">
                      <a:xfrm>
                        <a:off x="0" y="0"/>
                        <a:ext cx="2314575" cy="1790700"/>
                      </a:xfrm>
                      <a:prstGeom prst="rect">
                        <a:avLst/>
                      </a:prstGeom>
                      <a:noFill/>
                      <a:ln w="9525">
                        <a:noFill/>
                        <a:miter lim="800000"/>
                        <a:headEnd/>
                        <a:tailEnd/>
                      </a:ln>
                    </pic:spPr>
                  </pic:pic>
                </a:graphicData>
              </a:graphic>
            </wp:anchor>
          </w:drawing>
        </w:r>
      </w:hyperlink>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of Complete Dentures, 5th Ed.,</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WB Saunders Co., Philadelphia,</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1993, pages 185-211.</w:t>
      </w:r>
    </w:p>
    <w:p w:rsidR="00E30F22" w:rsidRPr="00E30F22" w:rsidRDefault="00E30F22" w:rsidP="00E30F22">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4. Owall B, Kayser AF, Carlsson GE.</w:t>
      </w:r>
      <w:hyperlink r:id="rId11" w:tooltip="" w:history="1">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2286000" cy="2286000"/>
              <wp:effectExtent l="19050" t="0" r="0" b="0"/>
              <wp:wrapSquare wrapText="bothSides"/>
              <wp:docPr id="5" name="صورة 5" descr="http://faculty.ksu.edu.sa/alamri/PublishingImages/Owall.jpg">
                <a:hlinkClick xmlns:a="http://schemas.openxmlformats.org/drawingml/2006/main" r:id="rId1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aculty.ksu.edu.sa/alamri/PublishingImages/Owall.jpg">
                        <a:hlinkClick r:id="rId11" tooltip="&quot;&quot;"/>
                      </pic:cNvPr>
                      <pic:cNvPicPr>
                        <a:picLocks noChangeAspect="1" noChangeArrowheads="1"/>
                      </pic:cNvPicPr>
                    </pic:nvPicPr>
                    <pic:blipFill>
                      <a:blip r:embed="rId12" cstate="print"/>
                      <a:srcRect/>
                      <a:stretch>
                        <a:fillRect/>
                      </a:stretch>
                    </pic:blipFill>
                    <pic:spPr bwMode="auto">
                      <a:xfrm>
                        <a:off x="0" y="0"/>
                        <a:ext cx="2286000" cy="2286000"/>
                      </a:xfrm>
                      <a:prstGeom prst="rect">
                        <a:avLst/>
                      </a:prstGeom>
                      <a:noFill/>
                      <a:ln w="9525">
                        <a:noFill/>
                        <a:miter lim="800000"/>
                        <a:headEnd/>
                        <a:tailEnd/>
                      </a:ln>
                    </pic:spPr>
                  </pic:pic>
                </a:graphicData>
              </a:graphic>
            </wp:anchor>
          </w:drawing>
        </w:r>
      </w:hyperlink>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Prosthodontics: Principles and</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management strategies.</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London:Mosby-Wolfe,</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1996 Chapter 13,</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pp. 179-184 &amp; Chapter 14,</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pp. 187-199.</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5. Overdentures Made Easy by Preiskel,</w:t>
      </w:r>
      <w:hyperlink r:id="rId13" w:tooltip="" w:history="1">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628775" cy="2066925"/>
              <wp:effectExtent l="19050" t="0" r="9525" b="0"/>
              <wp:wrapSquare wrapText="bothSides"/>
              <wp:docPr id="6" name="صورة 6" descr="http://faculty.ksu.edu.sa/alamri/PublishingImages/Preiskel.jpg">
                <a:hlinkClick xmlns:a="http://schemas.openxmlformats.org/drawingml/2006/main" r:id="rId13"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aculty.ksu.edu.sa/alamri/PublishingImages/Preiskel.jpg">
                        <a:hlinkClick r:id="rId13" tooltip="&quot;&quot;"/>
                      </pic:cNvPr>
                      <pic:cNvPicPr>
                        <a:picLocks noChangeAspect="1" noChangeArrowheads="1"/>
                      </pic:cNvPicPr>
                    </pic:nvPicPr>
                    <pic:blipFill>
                      <a:blip r:embed="rId14" cstate="print"/>
                      <a:srcRect/>
                      <a:stretch>
                        <a:fillRect/>
                      </a:stretch>
                    </pic:blipFill>
                    <pic:spPr bwMode="auto">
                      <a:xfrm>
                        <a:off x="0" y="0"/>
                        <a:ext cx="1628775" cy="2066925"/>
                      </a:xfrm>
                      <a:prstGeom prst="rect">
                        <a:avLst/>
                      </a:prstGeom>
                      <a:noFill/>
                      <a:ln w="9525">
                        <a:noFill/>
                        <a:miter lim="800000"/>
                        <a:headEnd/>
                        <a:tailEnd/>
                      </a:ln>
                    </pic:spPr>
                  </pic:pic>
                </a:graphicData>
              </a:graphic>
            </wp:anchor>
          </w:drawing>
        </w:r>
      </w:hyperlink>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Chapter 1, pp. 11-20.</w:t>
      </w:r>
    </w:p>
    <w:p w:rsidR="00E30F22" w:rsidRPr="00E30F22" w:rsidRDefault="00E30F22" w:rsidP="00E30F22">
      <w:pPr>
        <w:bidi w:val="0"/>
        <w:spacing w:before="100" w:beforeAutospacing="1" w:after="100" w:afterAutospacing="1" w:line="240" w:lineRule="auto"/>
        <w:jc w:val="right"/>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6. Overdentures By: A.</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Brewer &amp; R. Morrow, 2nd ed.</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Chapter 1, pp. 3-11 and</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000000"/>
          <w:sz w:val="24"/>
          <w:szCs w:val="24"/>
        </w:rPr>
        <w:t>Chapter 2, pp. 12-14</w:t>
      </w:r>
    </w:p>
    <w:p w:rsidR="00E30F22"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p w:rsidR="007F512F" w:rsidRPr="00E30F22" w:rsidRDefault="00E30F22" w:rsidP="00E30F22">
      <w:pPr>
        <w:bidi w:val="0"/>
        <w:spacing w:before="100" w:beforeAutospacing="1" w:after="100" w:afterAutospacing="1" w:line="240" w:lineRule="auto"/>
        <w:rPr>
          <w:rFonts w:ascii="Times New Roman" w:eastAsia="Times New Roman" w:hAnsi="Times New Roman" w:cs="Times New Roman"/>
          <w:color w:val="808080"/>
          <w:sz w:val="24"/>
          <w:szCs w:val="24"/>
        </w:rPr>
      </w:pPr>
      <w:r w:rsidRPr="00E30F22">
        <w:rPr>
          <w:rFonts w:ascii="Times New Roman" w:eastAsia="Times New Roman" w:hAnsi="Times New Roman" w:cs="Times New Roman"/>
          <w:color w:val="808080"/>
          <w:sz w:val="24"/>
          <w:szCs w:val="24"/>
        </w:rPr>
        <w:t> </w:t>
      </w:r>
    </w:p>
    <w:sectPr w:rsidR="007F512F" w:rsidRPr="00E30F22" w:rsidSect="00D6406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56558"/>
    <w:multiLevelType w:val="multilevel"/>
    <w:tmpl w:val="60DA2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30F22"/>
    <w:rsid w:val="00002EF9"/>
    <w:rsid w:val="00030294"/>
    <w:rsid w:val="0005021E"/>
    <w:rsid w:val="000E0BDE"/>
    <w:rsid w:val="000E4D23"/>
    <w:rsid w:val="00102811"/>
    <w:rsid w:val="00113537"/>
    <w:rsid w:val="00132359"/>
    <w:rsid w:val="00132B12"/>
    <w:rsid w:val="001369D4"/>
    <w:rsid w:val="00137796"/>
    <w:rsid w:val="00147951"/>
    <w:rsid w:val="0016146D"/>
    <w:rsid w:val="001754E3"/>
    <w:rsid w:val="00182221"/>
    <w:rsid w:val="00194C1E"/>
    <w:rsid w:val="001A1F87"/>
    <w:rsid w:val="001D37D0"/>
    <w:rsid w:val="001E245C"/>
    <w:rsid w:val="001E539B"/>
    <w:rsid w:val="001F4324"/>
    <w:rsid w:val="00203BB4"/>
    <w:rsid w:val="00274898"/>
    <w:rsid w:val="00283A5F"/>
    <w:rsid w:val="002A057F"/>
    <w:rsid w:val="002E0CFD"/>
    <w:rsid w:val="002E30D4"/>
    <w:rsid w:val="003004D3"/>
    <w:rsid w:val="00315DF1"/>
    <w:rsid w:val="0032515A"/>
    <w:rsid w:val="00333070"/>
    <w:rsid w:val="003361D6"/>
    <w:rsid w:val="00352687"/>
    <w:rsid w:val="00352C29"/>
    <w:rsid w:val="003543FE"/>
    <w:rsid w:val="00364F28"/>
    <w:rsid w:val="00397C1B"/>
    <w:rsid w:val="003B57CE"/>
    <w:rsid w:val="003E19FA"/>
    <w:rsid w:val="003F0F8A"/>
    <w:rsid w:val="00430AF7"/>
    <w:rsid w:val="00437B68"/>
    <w:rsid w:val="004560CE"/>
    <w:rsid w:val="00463814"/>
    <w:rsid w:val="004646B5"/>
    <w:rsid w:val="00487D51"/>
    <w:rsid w:val="00490C5B"/>
    <w:rsid w:val="00494C2E"/>
    <w:rsid w:val="00496DC4"/>
    <w:rsid w:val="004A118F"/>
    <w:rsid w:val="004A5AC3"/>
    <w:rsid w:val="004C0140"/>
    <w:rsid w:val="004D011D"/>
    <w:rsid w:val="004D1DAC"/>
    <w:rsid w:val="004E026A"/>
    <w:rsid w:val="004E1FDC"/>
    <w:rsid w:val="004F71FF"/>
    <w:rsid w:val="0050302F"/>
    <w:rsid w:val="0053046C"/>
    <w:rsid w:val="0055010D"/>
    <w:rsid w:val="005605D4"/>
    <w:rsid w:val="005638EF"/>
    <w:rsid w:val="0058326B"/>
    <w:rsid w:val="00593BC1"/>
    <w:rsid w:val="005C57E0"/>
    <w:rsid w:val="005D38E3"/>
    <w:rsid w:val="005E49DA"/>
    <w:rsid w:val="0060443A"/>
    <w:rsid w:val="00617B7F"/>
    <w:rsid w:val="00621280"/>
    <w:rsid w:val="00633713"/>
    <w:rsid w:val="006541FB"/>
    <w:rsid w:val="00664232"/>
    <w:rsid w:val="006B0631"/>
    <w:rsid w:val="006B1AEF"/>
    <w:rsid w:val="006E09C0"/>
    <w:rsid w:val="006F22CB"/>
    <w:rsid w:val="007611CE"/>
    <w:rsid w:val="00791FE3"/>
    <w:rsid w:val="007B3E79"/>
    <w:rsid w:val="007D1A74"/>
    <w:rsid w:val="007D5C00"/>
    <w:rsid w:val="007F512F"/>
    <w:rsid w:val="008065AA"/>
    <w:rsid w:val="0081545C"/>
    <w:rsid w:val="00815B2D"/>
    <w:rsid w:val="00825C67"/>
    <w:rsid w:val="008668C9"/>
    <w:rsid w:val="008712A6"/>
    <w:rsid w:val="00883A93"/>
    <w:rsid w:val="008845CC"/>
    <w:rsid w:val="008B0227"/>
    <w:rsid w:val="008D42C8"/>
    <w:rsid w:val="00907486"/>
    <w:rsid w:val="009130FC"/>
    <w:rsid w:val="00921246"/>
    <w:rsid w:val="00932FA9"/>
    <w:rsid w:val="009A7E50"/>
    <w:rsid w:val="009C2FB2"/>
    <w:rsid w:val="009E44EB"/>
    <w:rsid w:val="00A05400"/>
    <w:rsid w:val="00A630A7"/>
    <w:rsid w:val="00AD6D34"/>
    <w:rsid w:val="00AE4341"/>
    <w:rsid w:val="00B02F85"/>
    <w:rsid w:val="00B067BA"/>
    <w:rsid w:val="00B067CC"/>
    <w:rsid w:val="00B331DE"/>
    <w:rsid w:val="00B572AE"/>
    <w:rsid w:val="00B73383"/>
    <w:rsid w:val="00B907F6"/>
    <w:rsid w:val="00BA04B4"/>
    <w:rsid w:val="00BB68B2"/>
    <w:rsid w:val="00BB7F10"/>
    <w:rsid w:val="00BD3135"/>
    <w:rsid w:val="00BF0FC9"/>
    <w:rsid w:val="00BF6FD4"/>
    <w:rsid w:val="00C0205E"/>
    <w:rsid w:val="00C340C8"/>
    <w:rsid w:val="00C479A8"/>
    <w:rsid w:val="00C918CD"/>
    <w:rsid w:val="00CB509E"/>
    <w:rsid w:val="00CE787F"/>
    <w:rsid w:val="00CF0821"/>
    <w:rsid w:val="00CF164C"/>
    <w:rsid w:val="00CF4FE3"/>
    <w:rsid w:val="00CF741F"/>
    <w:rsid w:val="00CF7B8D"/>
    <w:rsid w:val="00D160DB"/>
    <w:rsid w:val="00D226B5"/>
    <w:rsid w:val="00D32DD5"/>
    <w:rsid w:val="00D47A77"/>
    <w:rsid w:val="00D604BD"/>
    <w:rsid w:val="00D61087"/>
    <w:rsid w:val="00D64065"/>
    <w:rsid w:val="00D661F0"/>
    <w:rsid w:val="00D77B0E"/>
    <w:rsid w:val="00DA02EF"/>
    <w:rsid w:val="00DA6887"/>
    <w:rsid w:val="00DB2CCA"/>
    <w:rsid w:val="00DD006D"/>
    <w:rsid w:val="00DF6D51"/>
    <w:rsid w:val="00E026D8"/>
    <w:rsid w:val="00E30F22"/>
    <w:rsid w:val="00E3290A"/>
    <w:rsid w:val="00E41C03"/>
    <w:rsid w:val="00E615CE"/>
    <w:rsid w:val="00E71030"/>
    <w:rsid w:val="00E97279"/>
    <w:rsid w:val="00EA2623"/>
    <w:rsid w:val="00EA3121"/>
    <w:rsid w:val="00EC66DB"/>
    <w:rsid w:val="00EE19B6"/>
    <w:rsid w:val="00F05084"/>
    <w:rsid w:val="00F205F6"/>
    <w:rsid w:val="00F55187"/>
    <w:rsid w:val="00F7766B"/>
    <w:rsid w:val="00FA348E"/>
    <w:rsid w:val="00FA62F4"/>
    <w:rsid w:val="00FF2F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12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E30F22"/>
  </w:style>
  <w:style w:type="paragraph" w:styleId="a3">
    <w:name w:val="Normal (Web)"/>
    <w:basedOn w:val="a"/>
    <w:uiPriority w:val="99"/>
    <w:semiHidden/>
    <w:unhideWhenUsed/>
    <w:rsid w:val="00E30F2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30F22"/>
    <w:rPr>
      <w:b/>
      <w:bCs/>
    </w:rPr>
  </w:style>
  <w:style w:type="character" w:customStyle="1" w:styleId="apple-converted-space">
    <w:name w:val="apple-converted-space"/>
    <w:basedOn w:val="a0"/>
    <w:rsid w:val="00E30F22"/>
  </w:style>
</w:styles>
</file>

<file path=word/webSettings.xml><?xml version="1.0" encoding="utf-8"?>
<w:webSettings xmlns:r="http://schemas.openxmlformats.org/officeDocument/2006/relationships" xmlns:w="http://schemas.openxmlformats.org/wordprocessingml/2006/main">
  <w:divs>
    <w:div w:id="988248777">
      <w:bodyDiv w:val="1"/>
      <w:marLeft w:val="0"/>
      <w:marRight w:val="0"/>
      <w:marTop w:val="0"/>
      <w:marBottom w:val="0"/>
      <w:divBdr>
        <w:top w:val="none" w:sz="0" w:space="0" w:color="auto"/>
        <w:left w:val="none" w:sz="0" w:space="0" w:color="auto"/>
        <w:bottom w:val="none" w:sz="0" w:space="0" w:color="auto"/>
        <w:right w:val="none" w:sz="0" w:space="0" w:color="auto"/>
      </w:divBdr>
      <w:divsChild>
        <w:div w:id="1377850391">
          <w:marLeft w:val="0"/>
          <w:marRight w:val="0"/>
          <w:marTop w:val="240"/>
          <w:marBottom w:val="0"/>
          <w:divBdr>
            <w:top w:val="none" w:sz="0" w:space="0" w:color="auto"/>
            <w:left w:val="none" w:sz="0" w:space="0" w:color="auto"/>
            <w:bottom w:val="none" w:sz="0" w:space="0" w:color="auto"/>
            <w:right w:val="none" w:sz="0" w:space="0" w:color="auto"/>
          </w:divBdr>
        </w:div>
        <w:div w:id="371657263">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mazon.com/Overdentures-Made-Easy-Supported-Prostheses/dp/1850970394/ref=sr_1_3?ie=UTF8&amp;s=books&amp;qid=1196059420&amp;sr=1-3" TargetMode="External"/><Relationship Id="rId3" Type="http://schemas.openxmlformats.org/officeDocument/2006/relationships/settings" Target="settings.xml"/><Relationship Id="rId7" Type="http://schemas.openxmlformats.org/officeDocument/2006/relationships/hyperlink" Target="http://www.amazon.com/Bouchers-Prosthodontic-Treatment-Edentulous-Patients/dp/081519899X/ref=sr_1_1?ie=UTF8&amp;s=books&amp;qid=1196059004&amp;sr=1-1"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amazon.com/Prosthodontics-Principles-Management-Bengt-Owall/dp/0723420467/ref=sr_1_1?ie=UTF8&amp;s=books&amp;qid=1196059340&amp;sr=1-1" TargetMode="External"/><Relationship Id="rId5" Type="http://schemas.openxmlformats.org/officeDocument/2006/relationships/hyperlink" Target="http://www.amazon.com/Temporomandibular-Disorders-Guidelines-Classification-Assessment/dp/0867152532"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amazon.com/Textbook-Complete-Dentures-Arthur-Rahn/dp/0812115236" TargetMode="External"/><Relationship Id="rId14" Type="http://schemas.openxmlformats.org/officeDocument/2006/relationships/image" Target="media/image5.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1483</Words>
  <Characters>8459</Characters>
  <Application>Microsoft Office Word</Application>
  <DocSecurity>0</DocSecurity>
  <Lines>70</Lines>
  <Paragraphs>19</Paragraphs>
  <ScaleCrop>false</ScaleCrop>
  <Company>Hewlett-Packard</Company>
  <LinksUpToDate>false</LinksUpToDate>
  <CharactersWithSpaces>9923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NOoONY</dc:creator>
  <cp:keywords/>
  <dc:description/>
  <cp:lastModifiedBy>NOoONY</cp:lastModifiedBy>
  <cp:revision>4</cp:revision>
  <dcterms:created xsi:type="dcterms:W3CDTF">2012-09-20T13:08:00Z</dcterms:created>
  <dcterms:modified xsi:type="dcterms:W3CDTF">2012-09-20T13:37:00Z</dcterms:modified>
</cp:coreProperties>
</file>