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877" w:rsidRPr="00063877" w:rsidRDefault="00063877" w:rsidP="0006387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khbar MT" w:hint="cs"/>
          <w:b/>
          <w:bCs/>
          <w:sz w:val="28"/>
          <w:szCs w:val="28"/>
          <w:rtl/>
        </w:rPr>
      </w:pPr>
      <w:r w:rsidRPr="00063877">
        <w:rPr>
          <w:rFonts w:ascii="Times New Roman" w:eastAsia="Times New Roman" w:hAnsi="Times New Roman" w:cs="Akhbar MT" w:hint="cs"/>
          <w:b/>
          <w:bCs/>
          <w:sz w:val="28"/>
          <w:szCs w:val="28"/>
          <w:rtl/>
        </w:rPr>
        <w:t>نموذج وصف مقر دراسي</w:t>
      </w:r>
    </w:p>
    <w:tbl>
      <w:tblPr>
        <w:bidiVisual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92"/>
        <w:gridCol w:w="1861"/>
        <w:gridCol w:w="4218"/>
      </w:tblGrid>
      <w:tr w:rsidR="00063877" w:rsidRPr="00063877" w:rsidTr="00EE7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2" w:type="dxa"/>
          </w:tcPr>
          <w:p w:rsidR="00063877" w:rsidRPr="00063877" w:rsidRDefault="00063877" w:rsidP="0006387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861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  <w:tc>
          <w:tcPr>
            <w:tcW w:w="4218" w:type="dxa"/>
          </w:tcPr>
          <w:p w:rsidR="00063877" w:rsidRPr="00063877" w:rsidRDefault="00063877" w:rsidP="0006387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  <w:t>قسم الثقافة الإسلامية</w:t>
            </w:r>
          </w:p>
        </w:tc>
      </w:tr>
      <w:tr w:rsidR="00063877" w:rsidRPr="00063877" w:rsidTr="00EE7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92" w:type="dxa"/>
          </w:tcPr>
          <w:p w:rsidR="00063877" w:rsidRPr="00063877" w:rsidRDefault="00063877" w:rsidP="0006387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rtl/>
              </w:rPr>
              <w:t>كلية التربية</w:t>
            </w:r>
          </w:p>
        </w:tc>
        <w:tc>
          <w:tcPr>
            <w:tcW w:w="1861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  <w:tc>
          <w:tcPr>
            <w:tcW w:w="4218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</w:tr>
    </w:tbl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b/>
          <w:bCs/>
          <w:noProof/>
          <w:sz w:val="20"/>
          <w:szCs w:val="28"/>
          <w:rtl/>
          <w:lang w:eastAsia="ar-SA"/>
        </w:rPr>
      </w:pPr>
    </w:p>
    <w:tbl>
      <w:tblPr>
        <w:bidiVisual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09"/>
        <w:gridCol w:w="709"/>
        <w:gridCol w:w="3953"/>
      </w:tblGrid>
      <w:tr w:rsidR="00063877" w:rsidRPr="00063877" w:rsidTr="00EE7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u w:val="single"/>
                <w:rtl/>
                <w:lang w:eastAsia="ar-SA"/>
              </w:rPr>
              <w:t>رقم المقرر ورمزه</w:t>
            </w:r>
            <w:r w:rsidRPr="00063877"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  <w:t xml:space="preserve">            531 سلم</w:t>
            </w:r>
          </w:p>
        </w:tc>
        <w:tc>
          <w:tcPr>
            <w:tcW w:w="7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  <w:tc>
          <w:tcPr>
            <w:tcW w:w="3953" w:type="dxa"/>
          </w:tcPr>
          <w:p w:rsidR="00063877" w:rsidRPr="00063877" w:rsidRDefault="00063877" w:rsidP="00063877">
            <w:pPr>
              <w:keepNext/>
              <w:spacing w:after="0" w:line="240" w:lineRule="auto"/>
              <w:jc w:val="lowKashida"/>
              <w:outlineLvl w:val="3"/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u w:val="single"/>
                <w:rtl/>
              </w:rPr>
            </w:pPr>
            <w:proofErr w:type="gramStart"/>
            <w:r w:rsidRPr="00063877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u w:val="single"/>
                <w:rtl/>
              </w:rPr>
              <w:t>المستوى :</w:t>
            </w:r>
            <w:proofErr w:type="gramEnd"/>
            <w:r w:rsidRPr="00063877">
              <w:rPr>
                <w:rFonts w:ascii="Times New Roman" w:eastAsia="Times New Roman" w:hAnsi="Times New Roman" w:cs="Traditional Arabic"/>
                <w:b/>
                <w:bCs/>
                <w:sz w:val="28"/>
                <w:szCs w:val="28"/>
                <w:u w:val="single"/>
                <w:rtl/>
              </w:rPr>
              <w:t xml:space="preserve"> دراسات عليا </w:t>
            </w:r>
          </w:p>
        </w:tc>
      </w:tr>
      <w:tr w:rsidR="00063877" w:rsidRPr="00063877" w:rsidTr="00EE7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u w:val="single"/>
                <w:rtl/>
                <w:lang w:eastAsia="ar-SA"/>
              </w:rPr>
              <w:t>اسم المقرر</w:t>
            </w:r>
            <w:r w:rsidRPr="00063877"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  <w:t xml:space="preserve">          أصول التفسير  </w:t>
            </w:r>
          </w:p>
        </w:tc>
        <w:tc>
          <w:tcPr>
            <w:tcW w:w="7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  <w:tc>
          <w:tcPr>
            <w:tcW w:w="3953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</w:tr>
      <w:tr w:rsidR="00063877" w:rsidRPr="00063877" w:rsidTr="00EE757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  <w:r w:rsidRPr="00063877"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  <w:t xml:space="preserve">الوحدات الدراسية : ساعتان </w:t>
            </w:r>
          </w:p>
        </w:tc>
        <w:tc>
          <w:tcPr>
            <w:tcW w:w="709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  <w:tc>
          <w:tcPr>
            <w:tcW w:w="3953" w:type="dxa"/>
          </w:tcPr>
          <w:p w:rsidR="00063877" w:rsidRPr="00063877" w:rsidRDefault="00063877" w:rsidP="00063877">
            <w:pPr>
              <w:spacing w:after="0" w:line="240" w:lineRule="auto"/>
              <w:jc w:val="lowKashida"/>
              <w:rPr>
                <w:rFonts w:ascii="Times New Roman" w:eastAsia="Times New Roman" w:hAnsi="Times New Roman" w:cs="Traditional Arabic"/>
                <w:b/>
                <w:bCs/>
                <w:noProof/>
                <w:sz w:val="20"/>
                <w:szCs w:val="28"/>
                <w:rtl/>
                <w:lang w:eastAsia="ar-SA"/>
              </w:rPr>
            </w:pPr>
          </w:p>
        </w:tc>
      </w:tr>
    </w:tbl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</w:pP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</w:pP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  <w:t xml:space="preserve">أهداف المقرر :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1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lang w:eastAsia="ar-SA"/>
        </w:rPr>
        <w:t>–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بيان أهمية علم التفسير ومدى الحاجة إليه بالأدلة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2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lang w:eastAsia="ar-SA"/>
        </w:rPr>
        <w:t>–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الكشف عن القواعد والضوابط التي تعين على تفسير القرآن الكريم بأحسن الطرق وأسلم المناهج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3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lang w:eastAsia="ar-SA"/>
        </w:rPr>
        <w:t>–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تنمية قدرات الطلاب على الكشف عن مراد الله تعالى من كتابه في ضوء أصول التفسير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>4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lang w:eastAsia="ar-SA"/>
        </w:rPr>
        <w:t>–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تعريف الطلاب بعوامل ظهور التفسير بالرأي وأقسامه</w:t>
      </w:r>
      <w:r w:rsidRPr="00063877"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  <w:t xml:space="preserve">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</w:pP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  <w:t xml:space="preserve">وصف محتويات المقرر :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 -  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بيان معنى التفسير والتأويل وبيان الفرق بينهما عند السلف والخلف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bookmarkStart w:id="0" w:name="_GoBack"/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 -  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استمدادات عمل التفسير . </w:t>
      </w:r>
    </w:p>
    <w:bookmarkEnd w:id="0"/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</w:t>
      </w: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- 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مصادر التفسير والنظر في قيمتها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- 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تفسير التنوع وتفسير التضاد وبيان أسباب ظهور كل منهما مع دراسة نماذج من كل منها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-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الإسرائليات وما في حكمها ، تعريفها ، مصادرها أسباب ظهورها ، أقسامها ، قيمتها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 w:hint="cs"/>
          <w:noProof/>
          <w:sz w:val="30"/>
          <w:szCs w:val="30"/>
          <w:rtl/>
          <w:lang w:eastAsia="ar-SA"/>
        </w:rPr>
        <w:t xml:space="preserve"> -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لتفسير بالأري ، التعريف به ، أقسامه ، منهج أهل السنة والفرق الأخرى ، عوامل الانحراف في التفسير بالرأي مع نماذج من كتب التفسير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</w:pP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u w:val="single"/>
          <w:rtl/>
          <w:lang w:eastAsia="ar-SA"/>
        </w:rPr>
        <w:t xml:space="preserve">المراجع : </w:t>
      </w:r>
    </w:p>
    <w:p w:rsidR="00063877" w:rsidRPr="00063877" w:rsidRDefault="00063877" w:rsidP="00063877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التفسير والمفسرون 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lang w:eastAsia="ar-SA"/>
        </w:rPr>
        <w:t>–</w:t>
      </w: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د. محمد حسين الذهبي . </w:t>
      </w:r>
    </w:p>
    <w:p w:rsidR="00063877" w:rsidRPr="00063877" w:rsidRDefault="00063877" w:rsidP="00063877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أسباب اختلاف المفسرين د. سعود الفنيسان . </w:t>
      </w:r>
    </w:p>
    <w:p w:rsidR="00063877" w:rsidRPr="00063877" w:rsidRDefault="00063877" w:rsidP="00063877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lowKashida"/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البرهان في علوم القرآن . الزركشي .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Arial" w:hint="cs"/>
          <w:b/>
          <w:bCs/>
          <w:noProof/>
          <w:sz w:val="20"/>
          <w:szCs w:val="28"/>
          <w:rtl/>
          <w:lang w:eastAsia="ar-SA"/>
        </w:rPr>
      </w:pPr>
      <w:r w:rsidRPr="00063877">
        <w:rPr>
          <w:rFonts w:ascii="Times New Roman" w:eastAsia="Times New Roman" w:hAnsi="Times New Roman" w:cs="Traditional Arabic"/>
          <w:noProof/>
          <w:sz w:val="30"/>
          <w:szCs w:val="30"/>
          <w:rtl/>
          <w:lang w:eastAsia="ar-SA"/>
        </w:rPr>
        <w:t xml:space="preserve"> التفسير والتأويل من القرآن الكريم د. صلاح الخالدي</w:t>
      </w:r>
      <w:r w:rsidRPr="00063877"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  <w:t xml:space="preserve"> . </w:t>
      </w:r>
    </w:p>
    <w:p w:rsidR="00063877" w:rsidRPr="00063877" w:rsidRDefault="00063877" w:rsidP="00063877">
      <w:pPr>
        <w:numPr>
          <w:ilvl w:val="0"/>
          <w:numId w:val="1"/>
        </w:numPr>
        <w:tabs>
          <w:tab w:val="clear" w:pos="360"/>
          <w:tab w:val="num" w:pos="1080"/>
        </w:tabs>
        <w:spacing w:after="0" w:line="240" w:lineRule="auto"/>
        <w:ind w:left="1080"/>
        <w:jc w:val="lowKashida"/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</w:pP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Arial"/>
          <w:b/>
          <w:bCs/>
          <w:noProof/>
          <w:sz w:val="20"/>
          <w:szCs w:val="28"/>
          <w:rtl/>
          <w:lang w:eastAsia="ar-SA"/>
        </w:rPr>
      </w:pP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</w:pP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 xml:space="preserve">توقيع رئيس القسم </w:t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 w:hint="cs"/>
          <w:b/>
          <w:bCs/>
          <w:noProof/>
          <w:sz w:val="20"/>
          <w:szCs w:val="28"/>
          <w:rtl/>
          <w:lang w:eastAsia="ar-SA"/>
        </w:rPr>
        <w:t xml:space="preserve">              </w:t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 xml:space="preserve">توقيع عميد الكلية </w:t>
      </w: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</w:pPr>
    </w:p>
    <w:p w:rsidR="00063877" w:rsidRPr="00063877" w:rsidRDefault="00063877" w:rsidP="00063877">
      <w:pPr>
        <w:spacing w:after="0" w:line="240" w:lineRule="auto"/>
        <w:jc w:val="lowKashida"/>
        <w:rPr>
          <w:rFonts w:ascii="Times New Roman" w:eastAsia="Times New Roman" w:hAnsi="Times New Roman" w:cs="Monotype Koufi" w:hint="cs"/>
          <w:b/>
          <w:bCs/>
          <w:noProof/>
          <w:sz w:val="20"/>
          <w:szCs w:val="28"/>
          <w:rtl/>
          <w:lang w:eastAsia="ar-SA"/>
        </w:rPr>
      </w:pP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 xml:space="preserve">د. محمد بن سليمان الخلف </w:t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</w:r>
      <w:r w:rsidRPr="00063877">
        <w:rPr>
          <w:rFonts w:ascii="Times New Roman" w:eastAsia="Times New Roman" w:hAnsi="Times New Roman" w:cs="Monotype Koufi"/>
          <w:b/>
          <w:bCs/>
          <w:noProof/>
          <w:sz w:val="20"/>
          <w:szCs w:val="28"/>
          <w:rtl/>
          <w:lang w:eastAsia="ar-SA"/>
        </w:rPr>
        <w:tab/>
        <w:t xml:space="preserve">أ.د. عبدالرحمن بن سليمان الطريري </w:t>
      </w:r>
    </w:p>
    <w:p w:rsidR="002B00F0" w:rsidRDefault="002B00F0"/>
    <w:sectPr w:rsidR="002B00F0" w:rsidSect="00A008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67E1D"/>
    <w:multiLevelType w:val="singleLevel"/>
    <w:tmpl w:val="E8D4899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877"/>
    <w:rsid w:val="00063877"/>
    <w:rsid w:val="002B00F0"/>
    <w:rsid w:val="00A0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F7594A3-9AC2-4E99-A685-D527D838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1Ahmad ageel</dc:creator>
  <cp:keywords/>
  <dc:description/>
  <cp:lastModifiedBy>1Ahmad ageel</cp:lastModifiedBy>
  <cp:revision>1</cp:revision>
  <dcterms:created xsi:type="dcterms:W3CDTF">2015-04-18T13:19:00Z</dcterms:created>
  <dcterms:modified xsi:type="dcterms:W3CDTF">2015-04-18T13:25:00Z</dcterms:modified>
</cp:coreProperties>
</file>