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  <w:sz w:val="24"/>
          <w:szCs w:val="24"/>
        </w:rPr>
        <w:id w:val="94559214"/>
        <w:docPartObj>
          <w:docPartGallery w:val="Cover Pages"/>
          <w:docPartUnique/>
        </w:docPartObj>
      </w:sdtPr>
      <w:sdtEndPr>
        <w:rPr>
          <w:color w:val="0F243E" w:themeColor="text2" w:themeShade="80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</w:rPr>
            <w:id w:val="94559180"/>
            <w:docPartObj>
              <w:docPartGallery w:val="Cover Pages"/>
              <w:docPartUnique/>
            </w:docPartObj>
          </w:sdtPr>
          <w:sdtEndPr>
            <w:rPr>
              <w:color w:val="0F243E" w:themeColor="text2" w:themeShade="80"/>
            </w:rPr>
          </w:sdtEndPr>
          <w:sdtContent>
            <w:p w:rsidR="00545BC8" w:rsidRPr="00706FC5" w:rsidRDefault="00545BC8" w:rsidP="00545BC8">
              <w:pPr>
                <w:rPr>
                  <w:rFonts w:ascii="Times New Roman" w:hAnsi="Times New Roman" w:cs="Times New Roman"/>
                  <w:sz w:val="24"/>
                  <w:szCs w:val="24"/>
                </w:rPr>
              </w:pPr>
            </w:p>
            <w:p w:rsidR="00545BC8" w:rsidRPr="00C85D75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4"/>
                  <w:szCs w:val="44"/>
                </w:rPr>
              </w:pPr>
              <w:r w:rsidRPr="00C85D75">
                <w:rPr>
                  <w:rFonts w:ascii="Century Gothic" w:hAnsi="Century Gothic" w:cs="Times New Roman"/>
                  <w:b/>
                  <w:bCs/>
                  <w:sz w:val="44"/>
                  <w:szCs w:val="44"/>
                </w:rPr>
                <w:t>KING SAUD UNIVERSITY</w:t>
              </w:r>
            </w:p>
            <w:p w:rsidR="00545BC8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</w:pPr>
              <w:r w:rsidRPr="00C85D75"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  <w:t>COLLEGE OF DENTISTRY</w:t>
              </w:r>
            </w:p>
            <w:p w:rsidR="00545BC8" w:rsidRPr="00C85D75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</w:pPr>
            </w:p>
            <w:p w:rsidR="00545BC8" w:rsidRDefault="00545BC8" w:rsidP="00545BC8">
              <w:pPr>
                <w:spacing w:after="0"/>
                <w:rPr>
                  <w:rFonts w:ascii="Times New Roman" w:hAnsi="Times New Roman" w:cs="Times New Roman"/>
                </w:rPr>
              </w:pPr>
            </w:p>
            <w:p w:rsidR="00545BC8" w:rsidRDefault="00545BC8" w:rsidP="00545BC8">
              <w:pPr>
                <w:rPr>
                  <w:rFonts w:ascii="Times New Roman" w:hAnsi="Times New Roman" w:cs="Times New Roman"/>
                </w:rPr>
              </w:pPr>
            </w:p>
            <w:p w:rsidR="00545BC8" w:rsidRPr="00DD1402" w:rsidRDefault="00545BC8" w:rsidP="00545BC8">
              <w:pPr>
                <w:rPr>
                  <w:rFonts w:ascii="Times New Roman" w:hAnsi="Times New Roman" w:cs="Times New Roman"/>
                </w:rPr>
              </w:pPr>
            </w:p>
            <w:tbl>
              <w:tblPr>
                <w:tblW w:w="8642" w:type="dxa"/>
                <w:jc w:val="center"/>
                <w:tblLook w:val="04A0" w:firstRow="1" w:lastRow="0" w:firstColumn="1" w:lastColumn="0" w:noHBand="0" w:noVBand="1"/>
              </w:tblPr>
              <w:tblGrid>
                <w:gridCol w:w="4585"/>
                <w:gridCol w:w="1091"/>
                <w:gridCol w:w="2966"/>
              </w:tblGrid>
              <w:tr w:rsidR="00545BC8" w:rsidRPr="00DD1402" w:rsidTr="0072017F">
                <w:trPr>
                  <w:trHeight w:val="3004"/>
                  <w:jc w:val="center"/>
                </w:trPr>
                <w:tc>
                  <w:tcPr>
                    <w:tcW w:w="5676" w:type="dxa"/>
                    <w:gridSpan w:val="2"/>
                  </w:tcPr>
                  <w:p w:rsidR="00545BC8" w:rsidRPr="00DD1402" w:rsidRDefault="00545BC8" w:rsidP="00D4458B">
                    <w:pPr>
                      <w:spacing w:before="240" w:line="360" w:lineRule="auto"/>
                      <w:rPr>
                        <w:rFonts w:ascii="Times New Roman" w:hAnsi="Times New Roman" w:cs="Times New Roman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40"/>
                        <w:szCs w:val="40"/>
                        <w:lang w:val="en-IN" w:eastAsia="en-IN"/>
                      </w:rPr>
                      <w:drawing>
                        <wp:inline distT="0" distB="0" distL="0" distR="0" wp14:anchorId="7F27829F" wp14:editId="29CB0F50">
                          <wp:extent cx="3445640" cy="1380744"/>
                          <wp:effectExtent l="0" t="0" r="0" b="0"/>
                          <wp:docPr id="12" name="Picture 4" descr="KSU_New 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SU_New logo.png"/>
                                  <pic:cNvPicPr/>
                                </pic:nvPicPr>
                                <pic:blipFill>
                                  <a:blip r:embed="rId9" cstate="print"/>
                                  <a:srcRect b="218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445640" cy="138074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2966" w:type="dxa"/>
                  </w:tcPr>
                  <w:p w:rsidR="00545BC8" w:rsidRPr="00DD1402" w:rsidRDefault="00545BC8" w:rsidP="00D4458B">
                    <w:pPr>
                      <w:spacing w:before="240" w:line="360" w:lineRule="auto"/>
                      <w:rPr>
                        <w:rFonts w:ascii="Times New Roman" w:hAnsi="Times New Roman" w:cs="Times New Roman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noProof/>
                        <w:sz w:val="36"/>
                        <w:lang w:val="en-IN" w:eastAsia="en-IN"/>
                      </w:rPr>
                      <w:drawing>
                        <wp:anchor distT="0" distB="0" distL="114300" distR="114300" simplePos="0" relativeHeight="251666944" behindDoc="0" locked="0" layoutInCell="1" allowOverlap="1" wp14:anchorId="6E174C26" wp14:editId="0ED130B7">
                          <wp:simplePos x="0" y="0"/>
                          <wp:positionH relativeFrom="column">
                            <wp:posOffset>1282700</wp:posOffset>
                          </wp:positionH>
                          <wp:positionV relativeFrom="paragraph">
                            <wp:posOffset>87630</wp:posOffset>
                          </wp:positionV>
                          <wp:extent cx="1134745" cy="1383665"/>
                          <wp:effectExtent l="19050" t="0" r="8255" b="0"/>
                          <wp:wrapSquare wrapText="bothSides"/>
                          <wp:docPr id="13" name="Picture 2" descr="CDKSU_New_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DKSU_New_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4745" cy="1383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</w:tr>
              <w:tr w:rsidR="00545BC8" w:rsidRPr="00DD1402" w:rsidTr="0072017F">
                <w:trPr>
                  <w:trHeight w:val="922"/>
                  <w:jc w:val="center"/>
                </w:trPr>
                <w:tc>
                  <w:tcPr>
                    <w:tcW w:w="8642" w:type="dxa"/>
                    <w:gridSpan w:val="3"/>
                  </w:tcPr>
                  <w:p w:rsidR="00545BC8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bCs/>
                        <w:sz w:val="40"/>
                        <w:szCs w:val="40"/>
                      </w:rPr>
                    </w:pPr>
                  </w:p>
                  <w:p w:rsidR="00545BC8" w:rsidRPr="00A061D4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bCs/>
                        <w:sz w:val="40"/>
                        <w:szCs w:val="40"/>
                      </w:rPr>
                    </w:pPr>
                  </w:p>
                  <w:p w:rsidR="00545BC8" w:rsidRPr="00040288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sz w:val="40"/>
                        <w:szCs w:val="40"/>
                      </w:rPr>
                    </w:pPr>
                    <w:r w:rsidRPr="00040288">
                      <w:rPr>
                        <w:rFonts w:cs="Calibri"/>
                        <w:b/>
                        <w:bCs/>
                        <w:sz w:val="32"/>
                        <w:szCs w:val="40"/>
                      </w:rPr>
                      <w:t>Course Specification</w:t>
                    </w:r>
                  </w:p>
                </w:tc>
              </w:tr>
              <w:tr w:rsidR="00545BC8" w:rsidRPr="00DD1402" w:rsidTr="0072017F">
                <w:trPr>
                  <w:trHeight w:val="641"/>
                  <w:jc w:val="center"/>
                </w:trPr>
                <w:tc>
                  <w:tcPr>
                    <w:tcW w:w="4585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Title: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545BC8" w:rsidRDefault="0072017F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Oral and Maxillofacial </w:t>
                    </w:r>
                    <w:r w:rsidR="007C42FD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Surgery Grand </w:t>
                    </w: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Rounds – </w:t>
                    </w:r>
                    <w:r w:rsidR="007C42FD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2</w:t>
                    </w:r>
                  </w:p>
                  <w:p w:rsidR="0072017F" w:rsidRPr="00D6155D" w:rsidRDefault="0072017F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545BC8" w:rsidRPr="00DD1402" w:rsidTr="0072017F">
                <w:trPr>
                  <w:trHeight w:val="269"/>
                  <w:jc w:val="center"/>
                </w:trPr>
                <w:tc>
                  <w:tcPr>
                    <w:tcW w:w="4585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Code: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545BC8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5</w:t>
                    </w:r>
                    <w:r w:rsidR="007C42FD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5</w:t>
                    </w: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2</w:t>
                    </w:r>
                    <w:r w:rsidR="00545BC8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 </w:t>
                    </w:r>
                    <w:r w:rsidR="007C42FD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BD</w:t>
                    </w:r>
                    <w:r w:rsidR="00545BC8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S </w:t>
                    </w:r>
                  </w:p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72017F" w:rsidRPr="00DD1402" w:rsidTr="0072017F">
                <w:trPr>
                  <w:trHeight w:val="251"/>
                  <w:jc w:val="center"/>
                </w:trPr>
                <w:tc>
                  <w:tcPr>
                    <w:tcW w:w="4585" w:type="dxa"/>
                  </w:tcPr>
                  <w:p w:rsidR="0072017F" w:rsidRPr="00A061D4" w:rsidRDefault="0072017F" w:rsidP="0072017F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 xml:space="preserve">Course </w:t>
                    </w:r>
                    <w:r>
                      <w:rPr>
                        <w:rFonts w:cs="Calibri"/>
                        <w:bCs/>
                        <w:sz w:val="32"/>
                        <w:szCs w:val="28"/>
                      </w:rPr>
                      <w:t>Level</w:t>
                    </w: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72017F" w:rsidRDefault="007C42FD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Masters</w:t>
                    </w:r>
                  </w:p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72017F" w:rsidRPr="00DD1402" w:rsidTr="0072017F">
                <w:trPr>
                  <w:trHeight w:val="443"/>
                  <w:jc w:val="center"/>
                </w:trPr>
                <w:tc>
                  <w:tcPr>
                    <w:tcW w:w="4585" w:type="dxa"/>
                  </w:tcPr>
                  <w:p w:rsidR="0072017F" w:rsidRPr="00A061D4" w:rsidRDefault="0072017F" w:rsidP="0072017F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Director(s):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72017F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Dr. Sundar Ramalingam  </w:t>
                    </w:r>
                  </w:p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72017F" w:rsidRPr="00DD1402" w:rsidTr="0072017F">
                <w:trPr>
                  <w:trHeight w:val="279"/>
                  <w:jc w:val="center"/>
                </w:trPr>
                <w:tc>
                  <w:tcPr>
                    <w:tcW w:w="4585" w:type="dxa"/>
                  </w:tcPr>
                  <w:p w:rsidR="0072017F" w:rsidRPr="00A061D4" w:rsidRDefault="0072017F" w:rsidP="0072017F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Department: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72017F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MFS – Maxillofacial Surgery</w:t>
                    </w:r>
                  </w:p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72017F" w:rsidRPr="00DD1402" w:rsidTr="0072017F">
                <w:trPr>
                  <w:trHeight w:val="157"/>
                  <w:jc w:val="center"/>
                </w:trPr>
                <w:tc>
                  <w:tcPr>
                    <w:tcW w:w="4585" w:type="dxa"/>
                  </w:tcPr>
                  <w:p w:rsidR="0072017F" w:rsidRPr="00A061D4" w:rsidRDefault="0072017F" w:rsidP="0072017F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Cs/>
                        <w:sz w:val="32"/>
                        <w:szCs w:val="28"/>
                      </w:rPr>
                      <w:t>Academic Year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2015 – 2016G [1436 – 1437H]</w:t>
                    </w:r>
                  </w:p>
                </w:tc>
              </w:tr>
            </w:tbl>
            <w:p w:rsidR="00545BC8" w:rsidRDefault="00E86690" w:rsidP="00545BC8">
              <w:pPr>
                <w:rPr>
                  <w:rFonts w:ascii="Times New Roman" w:hAnsi="Times New Roman" w:cs="Times New Roman"/>
                  <w:color w:val="0F243E" w:themeColor="text2" w:themeShade="80"/>
                  <w:sz w:val="24"/>
                  <w:szCs w:val="24"/>
                </w:rPr>
              </w:pPr>
            </w:p>
          </w:sdtContent>
        </w:sdt>
        <w:p w:rsidR="00545BC8" w:rsidRPr="00706FC5" w:rsidRDefault="00E86690" w:rsidP="00545BC8">
          <w:pPr>
            <w:rPr>
              <w:rFonts w:ascii="Times New Roman" w:hAnsi="Times New Roman" w:cs="Times New Roman"/>
              <w:color w:val="0F243E" w:themeColor="text2" w:themeShade="80"/>
              <w:sz w:val="24"/>
              <w:szCs w:val="24"/>
            </w:rPr>
          </w:pPr>
        </w:p>
      </w:sdtContent>
    </w:sdt>
    <w:p w:rsidR="00545BC8" w:rsidRPr="00706FC5" w:rsidRDefault="00545BC8" w:rsidP="00545BC8">
      <w:pPr>
        <w:spacing w:before="240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  </w:t>
      </w:r>
      <w:r w:rsidRPr="00706FC5">
        <w:rPr>
          <w:rFonts w:ascii="Times New Roman" w:eastAsia="Times New Roman" w:hAnsi="Times New Roman" w:cs="Times New Roman"/>
          <w:b/>
          <w:bCs/>
          <w:caps/>
          <w:color w:val="0F243E" w:themeColor="text2" w:themeShade="80"/>
          <w:sz w:val="24"/>
          <w:szCs w:val="24"/>
        </w:rPr>
        <w:t xml:space="preserve">Course Specificationform 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706FC5">
            <w:pPr>
              <w:tabs>
                <w:tab w:val="left" w:pos="2325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Institution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King Saud University – College of Dentistry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ab/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2047D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College/Department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Maxillofacial Surgery</w:t>
            </w:r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(MFS)</w:t>
            </w:r>
          </w:p>
        </w:tc>
      </w:tr>
    </w:tbl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A Course Identification and General Information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Pr="00706FC5" w:rsidRDefault="00AF7459" w:rsidP="00706FC5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Course title and code:</w:t>
            </w: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  <w:p w:rsidR="00AF7459" w:rsidRPr="00706FC5" w:rsidRDefault="0072017F" w:rsidP="007C42FD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Oral and Maxillofacial</w:t>
            </w:r>
            <w:r w:rsidR="007C42F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Surgery Grand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Rounds </w:t>
            </w:r>
            <w:r w:rsidR="007C42F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2</w:t>
            </w:r>
            <w:r w:rsid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5</w:t>
            </w:r>
            <w:r w:rsidR="007C42F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2</w:t>
            </w:r>
            <w:r w:rsid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 w:rsidR="007C42F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BD</w:t>
            </w:r>
            <w:r w:rsid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S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72017F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2.  Credit hours: </w:t>
            </w:r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2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Hour (</w:t>
            </w:r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Clinical rounds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Default="00AF7459" w:rsidP="00706FC5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  <w:lang w:val="en-AU"/>
              </w:rPr>
              <w:t xml:space="preserve">3.  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  <w:t>Program(s) in which the course is offered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  <w:t xml:space="preserve"> : </w:t>
            </w:r>
          </w:p>
          <w:p w:rsidR="00706FC5" w:rsidRPr="00706FC5" w:rsidRDefault="007C42FD" w:rsidP="007554EE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>Master</w:t>
            </w:r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 xml:space="preserve"> of Science in Oral and Maxillofacial Surgery (</w:t>
            </w:r>
            <w:r w:rsidR="007554E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>M</w:t>
            </w:r>
            <w:bookmarkStart w:id="0" w:name="_GoBack"/>
            <w:bookmarkEnd w:id="0"/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>.Sc. OMFS)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706FC5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4.  Name of faculty member responsible for the course</w:t>
            </w:r>
          </w:p>
          <w:p w:rsidR="00706FC5" w:rsidRPr="00706FC5" w:rsidRDefault="00706FC5" w:rsidP="00706FC5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Dr. Sundar</w:t>
            </w:r>
            <w:r w:rsidR="00E23633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Ramalingam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5.  Level/year at which this course is offered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: </w:t>
            </w:r>
          </w:p>
          <w:p w:rsidR="00AF7459" w:rsidRPr="00706FC5" w:rsidRDefault="007C42FD" w:rsidP="007C42FD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Masters</w:t>
            </w:r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  <w:r w:rsidRPr="007C42F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year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Default="00AF7459" w:rsidP="00706F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6.  Pre-requisites for this course (if any)</w:t>
            </w:r>
          </w:p>
          <w:p w:rsidR="00AF7459" w:rsidRPr="00706FC5" w:rsidRDefault="0072017F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NIL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7.  Co-requisites for this course (if any)</w:t>
            </w:r>
          </w:p>
          <w:p w:rsidR="00AF7459" w:rsidRPr="00706FC5" w:rsidRDefault="00801996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NIL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8.  Location if not on main campus</w:t>
            </w:r>
          </w:p>
          <w:p w:rsidR="00AF7459" w:rsidRPr="00706FC5" w:rsidRDefault="0072017F" w:rsidP="002B3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College of Dentistry Male Campus (BUC) and King Khalid University Hospital (KKUH)</w:t>
            </w:r>
          </w:p>
        </w:tc>
      </w:tr>
    </w:tbl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 </w:t>
      </w:r>
    </w:p>
    <w:p w:rsidR="00AF7459" w:rsidRDefault="00AF7459" w:rsidP="00AF7459">
      <w:pPr>
        <w:spacing w:before="240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br w:type="page"/>
      </w:r>
    </w:p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 xml:space="preserve">B  Objectives  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1421F1">
        <w:trPr>
          <w:cantSplit/>
          <w:trHeight w:val="6013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  Summary of the main learning outcomes for students enrolled in the course.</w:t>
            </w:r>
          </w:p>
          <w:p w:rsidR="00A10D59" w:rsidRDefault="00AF7459" w:rsidP="008E33C3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FC5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 </w:t>
            </w:r>
            <w:r w:rsidR="008E33C3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</w:t>
            </w:r>
            <w:r w:rsidR="00711AA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spacing w:before="0" w:before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shall be able to properly clerk patients, examine, request the relevant investigations and prepare the patient for surgery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shall be able to discuss findings, differential diagnosis, and treatment plan options with the patient and to obtain an informed consent to carry out the treatment for minor surgery cases.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shall be able to control patient’s pain and anxiety through medications, premedication and other procedures.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spacing w:after="0" w:after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shall be able to write prescriptions, understand the pharmacology, indications and contraindications of the drugs and medicaments used or to be used by the patient.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should be able to manage all needs based care for inpatients.</w:t>
            </w:r>
          </w:p>
          <w:p w:rsidR="0005050D" w:rsidRPr="0005050D" w:rsidRDefault="0005050D" w:rsidP="0005050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</w:t>
            </w:r>
            <w:r w:rsidRPr="000505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tudents should be able to provide post-surgical  care for the patients</w:t>
            </w:r>
          </w:p>
          <w:p w:rsidR="0005050D" w:rsidRPr="0005050D" w:rsidRDefault="0005050D" w:rsidP="0005050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Students should be able to discharge the patient with post-operative instructions and follow up advice.</w:t>
            </w:r>
          </w:p>
          <w:p w:rsidR="000752CB" w:rsidRPr="001F4A3C" w:rsidRDefault="0005050D" w:rsidP="0005050D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Theme="minorHAnsi" w:eastAsiaTheme="minorEastAsia" w:hAnsiTheme="minorHAnsi" w:cstheme="minorBidi"/>
                <w:color w:val="0F243E" w:themeColor="text2" w:themeShade="80"/>
                <w:sz w:val="22"/>
                <w:szCs w:val="22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should be able to participate in case discussion sessions with regard to patient care, treatment planning, surgical techniques, peri-operative care and follow up planning.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170AB" w:rsidRDefault="00AF7459" w:rsidP="002170AB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Briefly describe any plans for developing and improving the course that are being implemented.  (eg increased use of IT or web based reference material,  changes in content as a result of new research in the field)</w:t>
            </w:r>
          </w:p>
          <w:p w:rsidR="002170AB" w:rsidRDefault="002170AB" w:rsidP="002170AB">
            <w:pPr>
              <w:pStyle w:val="ListParagraph"/>
              <w:numPr>
                <w:ilvl w:val="0"/>
                <w:numId w:val="38"/>
              </w:numPr>
              <w:spacing w:after="100" w:afterAutospacing="1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Students wou</w:t>
            </w: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l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d</w:t>
            </w: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be given selected topics for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literature</w:t>
            </w: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review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from a wide range of sources including journal articles (electronic and print versions), reference books and online databases.</w:t>
            </w:r>
          </w:p>
          <w:p w:rsidR="002170AB" w:rsidRPr="002170AB" w:rsidRDefault="002170AB" w:rsidP="002170AB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review findings would be presented by the students in a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n open</w:t>
            </w: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forum comprising departmental staff members and colleagues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AF7459" w:rsidRPr="00706FC5" w:rsidRDefault="002170AB" w:rsidP="002170AB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students are expected not only to present but also to discuss and constructively criticize their review findings.</w:t>
            </w:r>
          </w:p>
        </w:tc>
      </w:tr>
    </w:tbl>
    <w:p w:rsidR="00917B9C" w:rsidRPr="00706FC5" w:rsidRDefault="00917B9C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C43477" w:rsidRDefault="00C43477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C43477" w:rsidRDefault="00C43477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D6761E" w:rsidRDefault="00D6761E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>C.  Course Description</w:t>
      </w:r>
    </w:p>
    <w:tbl>
      <w:tblPr>
        <w:tblW w:w="882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984"/>
        <w:gridCol w:w="1936"/>
        <w:gridCol w:w="1620"/>
        <w:gridCol w:w="1710"/>
        <w:gridCol w:w="162"/>
        <w:gridCol w:w="27"/>
      </w:tblGrid>
      <w:tr w:rsidR="00D83FC0" w:rsidRPr="00706FC5" w:rsidTr="00417CB5">
        <w:trPr>
          <w:gridAfter w:val="1"/>
          <w:wAfter w:w="27" w:type="dxa"/>
          <w:jc w:val="center"/>
        </w:trPr>
        <w:tc>
          <w:tcPr>
            <w:tcW w:w="88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3FC0" w:rsidRPr="00C43477" w:rsidRDefault="00D83FC0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The course is hospital based with the primary focus on training the students </w:t>
            </w:r>
            <w:r w:rsidR="00A9590A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about in-patient care from the time of admission until discharge and further follow up.</w:t>
            </w:r>
          </w:p>
        </w:tc>
      </w:tr>
      <w:tr w:rsidR="00AF7459" w:rsidRPr="00706FC5" w:rsidTr="00417CB5">
        <w:trPr>
          <w:gridAfter w:val="1"/>
          <w:wAfter w:w="27" w:type="dxa"/>
          <w:jc w:val="center"/>
        </w:trPr>
        <w:tc>
          <w:tcPr>
            <w:tcW w:w="88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9590A" w:rsidRDefault="00AF7459" w:rsidP="00A959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Topics to be </w:t>
            </w:r>
            <w:r w:rsidR="00A9590A"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Covered </w:t>
            </w:r>
            <w:r w:rsidR="00A9590A"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-</w:t>
            </w:r>
            <w:r w:rsidR="00A9590A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 w:rsidR="00A9590A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The course topics shall include all aspects of care of a patient admitted for oral and maxillofacial surgery. It will include:</w:t>
            </w:r>
          </w:p>
        </w:tc>
      </w:tr>
      <w:tr w:rsidR="00A9590A" w:rsidRPr="00706FC5" w:rsidTr="00417CB5">
        <w:trPr>
          <w:gridAfter w:val="1"/>
          <w:wAfter w:w="27" w:type="dxa"/>
          <w:cantSplit/>
          <w:jc w:val="center"/>
        </w:trPr>
        <w:tc>
          <w:tcPr>
            <w:tcW w:w="880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and physical examination (Clerking)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Hospital protocol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patient management protocol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Laboratory tests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Diagnostic modalities (radiographic and non-radiographic)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Fluid and electrolyte management of the in-patient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Nutritional support of the in-patient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Blood and blood products usage for in-patient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Commonly used medications (Pharmacology)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the medically compromised in-patient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Common post-operative problems</w:t>
            </w:r>
          </w:p>
          <w:p w:rsidR="00A9590A" w:rsidRP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Follow up and recall</w:t>
            </w:r>
          </w:p>
        </w:tc>
      </w:tr>
      <w:tr w:rsidR="00AF7459" w:rsidRPr="00706FC5" w:rsidTr="00417CB5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2. </w:t>
            </w: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Course components (total contact hours per semester)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:                         </w:t>
            </w:r>
          </w:p>
        </w:tc>
      </w:tr>
      <w:tr w:rsidR="00A9590A" w:rsidRPr="00706FC5" w:rsidTr="00417CB5">
        <w:trPr>
          <w:trHeight w:val="647"/>
          <w:jc w:val="center"/>
        </w:trPr>
        <w:tc>
          <w:tcPr>
            <w:tcW w:w="33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90A" w:rsidRPr="00706FC5" w:rsidRDefault="00A9590A" w:rsidP="00917B9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Supervised ward rounds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: </w:t>
            </w:r>
          </w:p>
          <w:p w:rsidR="00A9590A" w:rsidRPr="0050274E" w:rsidRDefault="00A9590A" w:rsidP="00A9590A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28 sessions (2 per week)</w:t>
            </w:r>
          </w:p>
        </w:tc>
        <w:tc>
          <w:tcPr>
            <w:tcW w:w="5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90A" w:rsidRPr="00706FC5" w:rsidRDefault="00A9590A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Grand rounds and case discussion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:</w:t>
            </w:r>
          </w:p>
          <w:p w:rsidR="00A9590A" w:rsidRPr="00706FC5" w:rsidRDefault="00A9590A" w:rsidP="00A9590A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14 sessions (1 per week)</w:t>
            </w:r>
          </w:p>
        </w:tc>
      </w:tr>
      <w:tr w:rsidR="00AF7459" w:rsidRPr="00706FC5" w:rsidTr="00417CB5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 3. </w:t>
            </w: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Additional private study/learning hours expected for students per week</w:t>
            </w:r>
            <w:r w:rsid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50274E" w:rsidRPr="00417CB5" w:rsidRDefault="00140F02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17CB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</w:t>
            </w:r>
            <w:r w:rsidR="00A9590A" w:rsidRPr="00417CB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rivate study or learning of </w:t>
            </w:r>
            <w:r w:rsidRPr="00417CB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at least 3</w:t>
            </w:r>
            <w:r w:rsidR="0050274E" w:rsidRPr="00417CB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hours per week</w:t>
            </w:r>
          </w:p>
        </w:tc>
      </w:tr>
      <w:tr w:rsidR="00417CB5" w:rsidRPr="00706FC5" w:rsidTr="00417CB5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Pr="00706FC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417CB5">
        <w:trPr>
          <w:gridAfter w:val="2"/>
          <w:wAfter w:w="189" w:type="dxa"/>
          <w:trHeight w:val="583"/>
          <w:jc w:val="center"/>
        </w:trPr>
        <w:tc>
          <w:tcPr>
            <w:tcW w:w="8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25BAA" w:rsidRDefault="00AF7459" w:rsidP="00A25BAA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 </w:t>
            </w:r>
            <w:r w:rsidRPr="00A25BAA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4. Development of Learning Outcomes in Domains of Learning  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255CC" w:rsidRDefault="00AF7459" w:rsidP="00A255CC">
            <w:pPr>
              <w:pStyle w:val="ListParagraph"/>
              <w:numPr>
                <w:ilvl w:val="0"/>
                <w:numId w:val="2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255CC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Knowledge  </w:t>
            </w:r>
          </w:p>
        </w:tc>
      </w:tr>
      <w:tr w:rsidR="00AF7459" w:rsidRPr="00706FC5" w:rsidTr="00417CB5">
        <w:trPr>
          <w:gridAfter w:val="2"/>
          <w:wAfter w:w="189" w:type="dxa"/>
          <w:trHeight w:val="70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knowledge to be acquired</w:t>
            </w:r>
          </w:p>
          <w:p w:rsidR="00746D57" w:rsidRDefault="00A82809" w:rsidP="00746D57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</w:t>
            </w:r>
            <w:r w:rsidR="00094518"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417CB5" w:rsidRPr="00417CB5" w:rsidRDefault="00417CB5" w:rsidP="00417CB5">
            <w:pPr>
              <w:pStyle w:val="NormalWeb"/>
              <w:numPr>
                <w:ilvl w:val="0"/>
                <w:numId w:val="43"/>
              </w:numPr>
              <w:spacing w:before="0" w:before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CB5">
              <w:rPr>
                <w:rFonts w:ascii="Times New Roman" w:hAnsi="Times New Roman" w:cs="Times New Roman"/>
                <w:bCs/>
                <w:sz w:val="24"/>
                <w:szCs w:val="24"/>
              </w:rPr>
              <w:t>The student shall be able to asses both the surgical as well as the general medical condition of the patient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17CB5" w:rsidRDefault="00417CB5" w:rsidP="00417CB5">
            <w:pPr>
              <w:pStyle w:val="NormalWeb"/>
              <w:numPr>
                <w:ilvl w:val="0"/>
                <w:numId w:val="43"/>
              </w:numPr>
              <w:spacing w:before="0" w:before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student sha</w:t>
            </w:r>
            <w:r w:rsidRPr="00417CB5">
              <w:rPr>
                <w:rFonts w:ascii="Times New Roman" w:hAnsi="Times New Roman" w:cs="Times New Roman"/>
                <w:bCs/>
                <w:sz w:val="24"/>
                <w:szCs w:val="24"/>
              </w:rPr>
              <w:t>ll be able to work up the patient and prepare him/her for surgery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coordination with other specialties in the operating team like anesthesiology, general surgery and general medicine.</w:t>
            </w:r>
          </w:p>
          <w:p w:rsidR="00417CB5" w:rsidRPr="00417CB5" w:rsidRDefault="00417CB5" w:rsidP="00417CB5">
            <w:pPr>
              <w:pStyle w:val="NormalWeb"/>
              <w:numPr>
                <w:ilvl w:val="0"/>
                <w:numId w:val="43"/>
              </w:numPr>
              <w:spacing w:before="0" w:before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student shall be able to provide appropriate pre- and post-operative care to in-patients admitted for oral and maxillofacial surgical procedures.</w:t>
            </w:r>
          </w:p>
          <w:p w:rsidR="005840C4" w:rsidRDefault="00417CB5" w:rsidP="00417CB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17C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The student shall be able to anticipate, diagnose and manage complications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arising as </w:t>
            </w:r>
            <w:r w:rsidRPr="00417C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result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of</w:t>
            </w:r>
            <w:r w:rsidRPr="00417C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oral and maxillofacial</w:t>
            </w:r>
            <w:r w:rsidRPr="00417C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surgical procedures.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417CB5" w:rsidRPr="00706FC5" w:rsidRDefault="00417CB5" w:rsidP="00417CB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The students shall be able to coordinate with his/her colleagues in the surgical team to advice the patient regarding informed consent, surgical plan, discharge, medication use and follow up plan.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F1" w:rsidRPr="00706FC5" w:rsidRDefault="00AF7459" w:rsidP="001421F1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that knowledge</w:t>
            </w:r>
          </w:p>
          <w:p w:rsidR="00A82809" w:rsidRPr="00417CB5" w:rsidRDefault="00417CB5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CB5">
              <w:rPr>
                <w:rFonts w:ascii="Times New Roman" w:hAnsi="Times New Roman" w:cs="Times New Roman"/>
                <w:sz w:val="24"/>
                <w:szCs w:val="24"/>
              </w:rPr>
              <w:t xml:space="preserve">Supervised ward rounds </w:t>
            </w:r>
            <w:r w:rsidR="00094518" w:rsidRPr="00417CB5">
              <w:rPr>
                <w:rFonts w:ascii="Times New Roman" w:hAnsi="Times New Roman" w:cs="Times New Roman"/>
                <w:sz w:val="24"/>
                <w:szCs w:val="24"/>
              </w:rPr>
              <w:t>with discussion</w:t>
            </w:r>
            <w:r w:rsidR="00A82809" w:rsidRPr="00417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7CB5" w:rsidRPr="00417CB5" w:rsidRDefault="00417CB5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Grand rounds and case discussion about all in-patients under the department.</w:t>
            </w:r>
          </w:p>
          <w:p w:rsidR="00A82809" w:rsidRPr="00417CB5" w:rsidRDefault="00094518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CB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82809" w:rsidRPr="00417CB5">
              <w:rPr>
                <w:rFonts w:ascii="Times New Roman" w:hAnsi="Times New Roman" w:cs="Times New Roman"/>
                <w:sz w:val="24"/>
                <w:szCs w:val="24"/>
              </w:rPr>
              <w:t>ssigned reading of prescribed textbooks, reference books and journals.</w:t>
            </w:r>
          </w:p>
          <w:p w:rsidR="002047D6" w:rsidRPr="00706FC5" w:rsidRDefault="002047D6" w:rsidP="002047D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knowledge acquired</w:t>
            </w:r>
          </w:p>
          <w:p w:rsidR="00094518" w:rsidRPr="00094518" w:rsidRDefault="00920620" w:rsidP="0009451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Formative Assessment</w:t>
            </w:r>
            <w:r w:rsidR="00417CB5">
              <w:rPr>
                <w:rFonts w:ascii="Times New Roman" w:hAnsi="Times New Roman" w:cs="Times New Roman"/>
                <w:sz w:val="24"/>
                <w:szCs w:val="24"/>
              </w:rPr>
              <w:t xml:space="preserve"> through case presentations and discussion.</w:t>
            </w:r>
          </w:p>
          <w:p w:rsidR="00A82809" w:rsidRPr="00094518" w:rsidRDefault="00417CB5" w:rsidP="0009451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Continuous assessment</w:t>
            </w:r>
          </w:p>
          <w:p w:rsidR="00094518" w:rsidRPr="00A255CC" w:rsidRDefault="00A82809" w:rsidP="00417CB5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  <w:r w:rsidR="00417CB5">
              <w:rPr>
                <w:rFonts w:ascii="Times New Roman" w:hAnsi="Times New Roman" w:cs="Times New Roman"/>
                <w:sz w:val="24"/>
                <w:szCs w:val="24"/>
              </w:rPr>
              <w:t xml:space="preserve"> oral/written </w:t>
            </w: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examination </w:t>
            </w:r>
          </w:p>
        </w:tc>
      </w:tr>
      <w:tr w:rsidR="00A255CC" w:rsidRPr="00706FC5" w:rsidTr="00417CB5">
        <w:trPr>
          <w:gridAfter w:val="2"/>
          <w:wAfter w:w="189" w:type="dxa"/>
          <w:trHeight w:val="322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55CC" w:rsidRPr="00A255CC" w:rsidRDefault="00A255CC" w:rsidP="00A255CC">
            <w:pPr>
              <w:pStyle w:val="ListParagraph"/>
              <w:numPr>
                <w:ilvl w:val="0"/>
                <w:numId w:val="19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Cognitive Skills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(i)  Cognitive skills to be developed </w:t>
            </w:r>
          </w:p>
          <w:p w:rsidR="00A255CC" w:rsidRPr="00A255CC" w:rsidRDefault="00A255CC" w:rsidP="00A255C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Upon successful completion of the course, the student</w:t>
            </w:r>
            <w:r w:rsidR="00D21B49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s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should be </w:t>
            </w:r>
            <w:r w:rsidR="002C39D6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capa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ble </w:t>
            </w:r>
            <w:r w:rsidR="002C39D6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of</w:t>
            </w:r>
            <w:r w:rsidR="00094518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:</w:t>
            </w:r>
          </w:p>
          <w:p w:rsidR="00AF7459" w:rsidRDefault="002C39D6" w:rsidP="00CC34A6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Critical thinking and problem solving in management of in-patients admitted for oral and maxillofacial surgical procedures</w:t>
            </w:r>
            <w:r w:rsidR="00CC34A6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2C39D6" w:rsidRDefault="002C39D6" w:rsidP="00CC34A6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Decision making with regard to admission, requesting investigations, prescribing medications, consenting, managing complications and requesting follow up among in-patients.</w:t>
            </w:r>
          </w:p>
          <w:p w:rsidR="004B0A4A" w:rsidRPr="00CC34A6" w:rsidRDefault="004B0A4A" w:rsidP="00CC34A6">
            <w:pPr>
              <w:pStyle w:val="ListParagraph"/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417CB5">
        <w:trPr>
          <w:gridAfter w:val="2"/>
          <w:wAfter w:w="189" w:type="dxa"/>
          <w:trHeight w:val="70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cognitive skills</w:t>
            </w:r>
          </w:p>
          <w:p w:rsidR="00AF7459" w:rsidRPr="009117FB" w:rsidRDefault="00A255CC" w:rsidP="00094518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Case scenario based discussion and problem solving sess</w:t>
            </w:r>
            <w:r w:rsidR="0009451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ions at the end of each </w:t>
            </w:r>
            <w:r w:rsidR="002C39D6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ward round or grand round </w:t>
            </w: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session.</w:t>
            </w:r>
          </w:p>
          <w:p w:rsidR="002C39D6" w:rsidRPr="002C39D6" w:rsidRDefault="004B0A4A" w:rsidP="002C39D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</w:t>
            </w:r>
            <w:r w:rsidR="009117F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ase scenario</w:t>
            </w:r>
            <w:r w:rsidR="00A679C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based questions </w:t>
            </w:r>
            <w:r w:rsidR="009117F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in the continuous assessment exams.</w:t>
            </w:r>
          </w:p>
        </w:tc>
      </w:tr>
      <w:tr w:rsidR="00AF7459" w:rsidRPr="00706FC5" w:rsidTr="00417CB5">
        <w:trPr>
          <w:gridAfter w:val="2"/>
          <w:wAfter w:w="189" w:type="dxa"/>
          <w:trHeight w:val="1168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 xml:space="preserve">(iii)  Methods of assessment of students cognitive skills </w:t>
            </w:r>
          </w:p>
          <w:p w:rsidR="002C39D6" w:rsidRPr="002C39D6" w:rsidRDefault="002C39D6" w:rsidP="0023189A">
            <w:pPr>
              <w:pStyle w:val="ListParagraph"/>
              <w:numPr>
                <w:ilvl w:val="0"/>
                <w:numId w:val="3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Direct evaluation of the students during each session.</w:t>
            </w:r>
          </w:p>
          <w:p w:rsidR="005840C4" w:rsidRPr="00706FC5" w:rsidRDefault="002C39D6" w:rsidP="002C39D6">
            <w:pPr>
              <w:pStyle w:val="ListParagraph"/>
              <w:numPr>
                <w:ilvl w:val="0"/>
                <w:numId w:val="3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Scenario based w</w:t>
            </w:r>
            <w:r w:rsidR="00A255CC" w:rsidRPr="00920620">
              <w:rPr>
                <w:rFonts w:ascii="Times New Roman" w:hAnsi="Times New Roman" w:cs="Times New Roman"/>
                <w:sz w:val="24"/>
                <w:szCs w:val="24"/>
              </w:rPr>
              <w:t>ritten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/oral examination.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422" w:rsidRPr="00A255CC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c. Interpersonal Skills and Responsibility 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(i)  Description of the interpersonal skills and capacity to carry responsibility to be developed </w:t>
            </w:r>
          </w:p>
          <w:p w:rsidR="002C39D6" w:rsidRPr="00A255CC" w:rsidRDefault="002C39D6" w:rsidP="002C39D6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Upon successful completion of the course, the student</w:t>
            </w: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s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should be </w:t>
            </w: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capa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of:</w:t>
            </w:r>
          </w:p>
          <w:p w:rsidR="002047D6" w:rsidRPr="002C39D6" w:rsidRDefault="002C39D6" w:rsidP="002C39D6">
            <w:pPr>
              <w:pStyle w:val="ListParagraph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Effectively communicating with the patient and his/her relative, professional colleagues and personnel of the patient care team in order to achieved optimum care for the in-patients.</w:t>
            </w:r>
          </w:p>
        </w:tc>
      </w:tr>
      <w:tr w:rsidR="00AF7459" w:rsidRPr="00706FC5" w:rsidTr="00417CB5">
        <w:trPr>
          <w:gridAfter w:val="2"/>
          <w:wAfter w:w="189" w:type="dxa"/>
          <w:trHeight w:val="90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 and abilities</w:t>
            </w:r>
          </w:p>
          <w:p w:rsidR="009C0BD2" w:rsidRPr="009117FB" w:rsidRDefault="009C0BD2" w:rsidP="009C0BD2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Case scenario based discussion and problem solving sess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ions at the end of each ward round or grand round </w:t>
            </w: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session.</w:t>
            </w:r>
          </w:p>
          <w:p w:rsidR="0023189A" w:rsidRPr="002C39D6" w:rsidRDefault="009C0BD2" w:rsidP="009C0BD2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Case scenario based questions in the continuous assessment exams.</w:t>
            </w:r>
          </w:p>
        </w:tc>
      </w:tr>
      <w:tr w:rsidR="00AF7459" w:rsidRPr="00706FC5" w:rsidTr="00417CB5">
        <w:trPr>
          <w:gridAfter w:val="2"/>
          <w:wAfter w:w="189" w:type="dxa"/>
          <w:trHeight w:val="601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7D6" w:rsidRPr="00706FC5" w:rsidRDefault="00AF7459" w:rsidP="002047D6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students interpersonal skills and capacity to carry responsibility</w:t>
            </w:r>
          </w:p>
          <w:p w:rsidR="009C0BD2" w:rsidRDefault="009C0BD2" w:rsidP="009C0BD2">
            <w:pPr>
              <w:pStyle w:val="ListParagraph"/>
              <w:numPr>
                <w:ilvl w:val="0"/>
                <w:numId w:val="46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Direct evaluation of the students during each session.</w:t>
            </w:r>
          </w:p>
          <w:p w:rsidR="0023189A" w:rsidRPr="009C0BD2" w:rsidRDefault="009C0BD2" w:rsidP="009C0BD2">
            <w:pPr>
              <w:pStyle w:val="ListParagraph"/>
              <w:numPr>
                <w:ilvl w:val="0"/>
                <w:numId w:val="46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d.   Communication, Information Technology and Numerical Skills 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skills to be developed in this domain.</w:t>
            </w:r>
          </w:p>
          <w:p w:rsidR="00162E6F" w:rsidRPr="00162E6F" w:rsidRDefault="00162E6F" w:rsidP="00162E6F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E6F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course, the student</w:t>
            </w:r>
            <w:r w:rsidR="00D21B49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162E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should be able to</w:t>
            </w:r>
          </w:p>
          <w:p w:rsidR="005840C4" w:rsidRDefault="00162E6F" w:rsidP="00094518">
            <w:pPr>
              <w:pStyle w:val="NormalWeb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referral form for other </w:t>
            </w:r>
            <w:r w:rsidR="00B732CA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specialties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seeking consultation/opinion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in a case scenario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F7459" w:rsidRPr="00674632" w:rsidRDefault="00162E6F" w:rsidP="009C0BD2">
            <w:pPr>
              <w:pStyle w:val="NormalWeb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prescriptions with the knowledge of prescription drugs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in a case scenario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</w:t>
            </w:r>
          </w:p>
          <w:p w:rsidR="00685422" w:rsidRPr="00674632" w:rsidRDefault="00A133AF" w:rsidP="00094518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674632">
              <w:rPr>
                <w:rFonts w:ascii="Times New Roman" w:hAnsi="Times New Roman" w:cs="Times New Roman"/>
                <w:sz w:val="24"/>
                <w:szCs w:val="24"/>
              </w:rPr>
              <w:t>Lectures and assigned reading</w:t>
            </w:r>
            <w:r w:rsidR="00674632" w:rsidRPr="006746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2605" w:rsidRPr="00674632" w:rsidRDefault="00CF2605" w:rsidP="00094518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674632">
              <w:rPr>
                <w:rFonts w:ascii="Times New Roman" w:hAnsi="Times New Roman" w:cs="Times New Roman"/>
                <w:sz w:val="24"/>
                <w:szCs w:val="24"/>
              </w:rPr>
              <w:t>Case scenario discussio</w:t>
            </w:r>
            <w:r w:rsidRPr="0067463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</w:t>
            </w:r>
          </w:p>
          <w:p w:rsidR="004B0A4A" w:rsidRPr="00E33324" w:rsidRDefault="009C0BD2" w:rsidP="004B0A4A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74632">
              <w:rPr>
                <w:rFonts w:ascii="Times New Roman" w:hAnsi="Times New Roman" w:cs="Times New Roman"/>
                <w:sz w:val="24"/>
                <w:szCs w:val="24"/>
              </w:rPr>
              <w:t>ssignment</w:t>
            </w:r>
            <w:r w:rsidR="004B0A4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(iii)  Methods of assessment of students numerical and communication skills </w:t>
            </w:r>
          </w:p>
          <w:p w:rsidR="00A133AF" w:rsidRPr="009C0BD2" w:rsidRDefault="009C0BD2" w:rsidP="009C0BD2">
            <w:pPr>
              <w:pStyle w:val="ListParagraph"/>
              <w:numPr>
                <w:ilvl w:val="0"/>
                <w:numId w:val="36"/>
              </w:numPr>
              <w:spacing w:before="100" w:beforeAutospacing="1" w:after="120" w:line="240" w:lineRule="auto"/>
              <w:outlineLvl w:val="6"/>
              <w:rPr>
                <w:color w:val="0F243E" w:themeColor="text2" w:themeShade="80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A</w:t>
            </w:r>
            <w:r w:rsidR="00A133AF" w:rsidRPr="00162E6F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ssignment</w:t>
            </w:r>
            <w:r w:rsidR="004B0A4A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s</w:t>
            </w:r>
          </w:p>
          <w:p w:rsidR="009C0BD2" w:rsidRPr="002C39D6" w:rsidRDefault="009C0BD2" w:rsidP="009C0BD2">
            <w:pPr>
              <w:pStyle w:val="ListParagraph"/>
              <w:numPr>
                <w:ilvl w:val="0"/>
                <w:numId w:val="36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Direct evaluation of the students during each session.</w:t>
            </w:r>
          </w:p>
          <w:p w:rsidR="009C0BD2" w:rsidRPr="009C0BD2" w:rsidRDefault="009C0BD2" w:rsidP="009C0BD2">
            <w:pPr>
              <w:pStyle w:val="ListParagraph"/>
              <w:numPr>
                <w:ilvl w:val="0"/>
                <w:numId w:val="36"/>
              </w:numPr>
              <w:spacing w:before="100" w:beforeAutospacing="1" w:after="120" w:line="240" w:lineRule="auto"/>
              <w:outlineLvl w:val="6"/>
              <w:rPr>
                <w:color w:val="0F243E" w:themeColor="text2" w:themeShade="8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Scenario based w</w:t>
            </w:r>
            <w:r w:rsidRPr="00920620">
              <w:rPr>
                <w:rFonts w:ascii="Times New Roman" w:hAnsi="Times New Roman" w:cs="Times New Roman"/>
                <w:sz w:val="24"/>
                <w:szCs w:val="24"/>
              </w:rPr>
              <w:t>ritten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/oral examination.</w:t>
            </w:r>
          </w:p>
          <w:p w:rsidR="009C0BD2" w:rsidRPr="00706FC5" w:rsidRDefault="009C0BD2" w:rsidP="009C0BD2">
            <w:pPr>
              <w:pStyle w:val="ListParagraph"/>
              <w:spacing w:before="100" w:beforeAutospacing="1" w:after="120" w:line="240" w:lineRule="auto"/>
              <w:outlineLvl w:val="6"/>
              <w:rPr>
                <w:color w:val="0F243E" w:themeColor="text2" w:themeShade="80"/>
              </w:rPr>
            </w:pP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lastRenderedPageBreak/>
              <w:t>e.  Psychomotor Skills (if applicable)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133AF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psychomotor skills to be developed and the level of performance required</w:t>
            </w:r>
          </w:p>
          <w:p w:rsidR="002047D6" w:rsidRPr="00706FC5" w:rsidRDefault="00094518" w:rsidP="00AD01F1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</w:t>
            </w:r>
          </w:p>
          <w:p w:rsidR="002047D6" w:rsidRPr="00706FC5" w:rsidRDefault="00094518" w:rsidP="00204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students psychomotor skills</w:t>
            </w:r>
          </w:p>
          <w:p w:rsidR="00AF7459" w:rsidRPr="00706FC5" w:rsidRDefault="00AD01F1" w:rsidP="00685422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1842BF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Default="001842BF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1842BF" w:rsidRPr="00706FC5" w:rsidRDefault="001842BF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417CB5">
        <w:trPr>
          <w:gridAfter w:val="2"/>
          <w:wAfter w:w="189" w:type="dxa"/>
          <w:jc w:val="center"/>
        </w:trPr>
        <w:tc>
          <w:tcPr>
            <w:tcW w:w="8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Default="001842BF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244F85" w:rsidRDefault="00AF7459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  5. Schedule of Assessment Tasks for Students During the Semester</w:t>
            </w:r>
            <w:r w:rsid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/Year</w:t>
            </w:r>
          </w:p>
          <w:p w:rsidR="001842BF" w:rsidRPr="001842BF" w:rsidRDefault="001842BF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417CB5">
        <w:trPr>
          <w:gridAfter w:val="2"/>
          <w:wAfter w:w="189" w:type="dxa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Assessment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Assessment task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Week due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Proportion of Final Assessment</w:t>
            </w:r>
          </w:p>
        </w:tc>
      </w:tr>
      <w:tr w:rsidR="00732EA0" w:rsidRPr="00706FC5" w:rsidTr="00417CB5">
        <w:trPr>
          <w:gridAfter w:val="2"/>
          <w:wAfter w:w="189" w:type="dxa"/>
          <w:trHeight w:val="260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2EA0" w:rsidRPr="00706FC5" w:rsidRDefault="009C0BD2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Continuous Assessment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706FC5" w:rsidRDefault="009C0BD2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Seminar and Case presentations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EA0" w:rsidRPr="00706FC5" w:rsidRDefault="009C0BD2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Periodic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EA0" w:rsidRPr="00706FC5" w:rsidRDefault="009C0BD2" w:rsidP="0020485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40%</w:t>
            </w:r>
          </w:p>
        </w:tc>
      </w:tr>
      <w:tr w:rsidR="001842BF" w:rsidRPr="00706FC5" w:rsidTr="00417CB5">
        <w:trPr>
          <w:gridAfter w:val="2"/>
          <w:wAfter w:w="189" w:type="dxa"/>
          <w:trHeight w:val="260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42BF" w:rsidRPr="00706FC5" w:rsidRDefault="009C0BD2" w:rsidP="009C0BD2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Final Oral Exam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9C0BD2" w:rsidP="00A4570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Oral Examination by a Committee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A4570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12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9C0BD2" w:rsidP="004B0A4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2</w:t>
            </w:r>
            <w:r w:rsidR="004B0A4A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0</w:t>
            </w:r>
            <w:r w:rsidR="001842B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%</w:t>
            </w:r>
          </w:p>
        </w:tc>
      </w:tr>
      <w:tr w:rsidR="001842BF" w:rsidRPr="00706FC5" w:rsidTr="00417CB5">
        <w:trPr>
          <w:gridAfter w:val="2"/>
          <w:wAfter w:w="189" w:type="dxa"/>
          <w:trHeight w:val="547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Pr="00706FC5" w:rsidRDefault="001842BF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Final </w:t>
            </w:r>
            <w:r w:rsid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Written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Exam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D2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MCQ Examination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16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40%</w:t>
            </w:r>
          </w:p>
        </w:tc>
      </w:tr>
    </w:tbl>
    <w:p w:rsidR="004B0A4A" w:rsidRDefault="004B0A4A" w:rsidP="00AF7459">
      <w:pPr>
        <w:spacing w:before="240" w:after="120" w:line="240" w:lineRule="auto"/>
        <w:ind w:left="357" w:hanging="357"/>
        <w:outlineLvl w:val="6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240" w:after="120" w:line="240" w:lineRule="auto"/>
        <w:ind w:left="357" w:hanging="357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D. Student Support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7"/>
      </w:tblGrid>
      <w:tr w:rsidR="00AF7459" w:rsidRPr="00706FC5" w:rsidTr="00AF7459">
        <w:trPr>
          <w:jc w:val="center"/>
        </w:trPr>
        <w:tc>
          <w:tcPr>
            <w:tcW w:w="8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1. Arrangements</w:t>
            </w:r>
            <w:r w:rsidR="00A926DC"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 for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availability of faculty for individual student cons</w:t>
            </w:r>
            <w:r w:rsidR="00A926DC"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ultations and academic advice. </w:t>
            </w:r>
          </w:p>
          <w:p w:rsidR="002047D6" w:rsidRPr="009C0BD2" w:rsidRDefault="009C0BD2" w:rsidP="009C0BD2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C0BD2">
              <w:rPr>
                <w:rFonts w:ascii="Times New Roman" w:hAnsi="Times New Roman" w:cs="Times New Roman"/>
                <w:sz w:val="24"/>
                <w:szCs w:val="24"/>
              </w:rPr>
              <w:t>Each student/group of students shall be assigned to a particular faculty member who will provide academic counseling and guidance during specific academic hours every week.</w:t>
            </w:r>
          </w:p>
          <w:p w:rsidR="009C0BD2" w:rsidRPr="009C0BD2" w:rsidRDefault="009C0BD2" w:rsidP="009C0BD2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shall be prepared for open discussion with the supervising faculty members during the ward rounds, grand rounds and case discussion sessions.</w:t>
            </w:r>
          </w:p>
        </w:tc>
      </w:tr>
    </w:tbl>
    <w:p w:rsidR="009C0BD2" w:rsidRDefault="009C0BD2" w:rsidP="00AF745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9C0BD2" w:rsidRDefault="009C0BD2" w:rsidP="00AF745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>E. Learning Resources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 Required Text(s)</w:t>
            </w:r>
          </w:p>
          <w:p w:rsidR="009C0BD2" w:rsidRPr="009C0BD2" w:rsidRDefault="009C0BD2" w:rsidP="009C0BD2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Maxillofacial Surgery, 2nd edition 2 volumes</w:t>
            </w:r>
          </w:p>
          <w:p w:rsidR="009C0BD2" w:rsidRPr="009C0BD2" w:rsidRDefault="009C0BD2" w:rsidP="009C0BD2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Author: Oeter Booth, Shendle, Jerry Hausman</w:t>
            </w:r>
          </w:p>
          <w:p w:rsidR="009C0BD2" w:rsidRPr="009C0BD2" w:rsidRDefault="009C0BD2" w:rsidP="009C0BD2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Contemporary Oral and Maxillofacial Surgery</w:t>
            </w:r>
          </w:p>
          <w:p w:rsidR="009C0BD2" w:rsidRPr="009C0BD2" w:rsidRDefault="009C0BD2" w:rsidP="009C0BD2">
            <w:pPr>
              <w:pStyle w:val="ListParagraph"/>
              <w:spacing w:after="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By Peterson, Ellis, Hupp, Tucker:</w:t>
            </w:r>
          </w:p>
          <w:p w:rsidR="009C0BD2" w:rsidRDefault="009C0BD2" w:rsidP="009C0BD2">
            <w:pPr>
              <w:pStyle w:val="ListParagraph"/>
              <w:spacing w:after="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Mosby; 4th Edition [2003]</w:t>
            </w:r>
          </w:p>
          <w:p w:rsidR="009C0BD2" w:rsidRPr="009C0BD2" w:rsidRDefault="009C0BD2" w:rsidP="009C0BD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Clinician’s Manual of Oral and Maxillofacial Surgery</w:t>
            </w:r>
          </w:p>
          <w:p w:rsidR="00AF7459" w:rsidRDefault="009C0BD2" w:rsidP="009C0BD2">
            <w:pPr>
              <w:pStyle w:val="ListParagraph"/>
              <w:spacing w:after="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By Paul Kwon and Daniel Laskin</w:t>
            </w:r>
          </w:p>
          <w:p w:rsidR="009C0BD2" w:rsidRPr="00706FC5" w:rsidRDefault="009C0BD2" w:rsidP="009C0BD2">
            <w:pPr>
              <w:pStyle w:val="ListParagraph"/>
              <w:spacing w:after="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514FBE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7D6" w:rsidRPr="009C0BD2" w:rsidRDefault="00AF7459" w:rsidP="009C0BD2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Essential References 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04855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Recommended Books and Reference Material (Journals, Reports, etc) (Attach List)</w:t>
            </w:r>
          </w:p>
          <w:p w:rsidR="00204855" w:rsidRPr="00F77B5B" w:rsidRDefault="00204855" w:rsidP="00204855">
            <w:pPr>
              <w:pStyle w:val="ListParagraph"/>
              <w:spacing w:before="240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International Journal of Oral and Maxillofacial Surgery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Journal of Oral and Maxillofacial Surgery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Triple “O” Journal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Dental Clinics of North America.</w:t>
            </w:r>
          </w:p>
          <w:p w:rsidR="00AF7459" w:rsidRPr="00706FC5" w:rsidRDefault="00AF7459" w:rsidP="00204855">
            <w:pPr>
              <w:pStyle w:val="ListParagraph"/>
              <w:spacing w:before="240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04855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Electronic Materials, Web Sites etc</w:t>
            </w:r>
          </w:p>
          <w:p w:rsidR="00204855" w:rsidRPr="00F77B5B" w:rsidRDefault="00204855" w:rsidP="00204855">
            <w:pPr>
              <w:pStyle w:val="ListParagraph"/>
              <w:spacing w:before="240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Pubmed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Medscape</w:t>
            </w:r>
          </w:p>
          <w:p w:rsidR="00AF7459" w:rsidRPr="00706FC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Sciencedirect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F77B5B" w:rsidRDefault="00AF7459" w:rsidP="00F77B5B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Other learning material such as computer-based programs/CD, professional standards/regulations</w:t>
            </w:r>
          </w:p>
          <w:p w:rsidR="00204855" w:rsidRPr="00706FC5" w:rsidRDefault="00204855" w:rsidP="002047D6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AF7459" w:rsidRPr="00706FC5" w:rsidRDefault="00AF7459" w:rsidP="00620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 F. Facilities Required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Indicate requirements for the course including size of classrooms and laboratories (ie number of seats in classrooms and laboratories, extent of computer access etc.)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  Accommodation (Lecture rooms, laboratories, etc.)</w:t>
            </w:r>
          </w:p>
          <w:p w:rsidR="002047D6" w:rsidRPr="00204855" w:rsidRDefault="00204855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Lecture rooms enabled with “Smart Class Room”</w:t>
            </w:r>
          </w:p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2. Computing resources</w:t>
            </w:r>
          </w:p>
          <w:p w:rsidR="00204855" w:rsidRPr="00204855" w:rsidRDefault="00AF7459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Access to internet – available throughout the campus.</w:t>
            </w:r>
          </w:p>
          <w:p w:rsidR="00AF7459" w:rsidRPr="00706FC5" w:rsidRDefault="00AF7459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BE" w:rsidRDefault="00AF7459" w:rsidP="00514F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 xml:space="preserve">3. Other resources (specify --eg. If specific laboratory equipment is required, list requirements or attach list) </w:t>
            </w:r>
          </w:p>
          <w:p w:rsidR="00AF7459" w:rsidRPr="00706FC5" w:rsidRDefault="00AF7459" w:rsidP="00514F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</w:tbl>
    <w:p w:rsidR="00AF7459" w:rsidRDefault="00AF7459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G   Course Evaluation and Improvement Processes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Strategies for Obtaining Student Feedback on Effectiveness of Teaching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Pr="00204855" w:rsidRDefault="00204855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Feedback questi</w:t>
            </w:r>
            <w:r w:rsid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onnaires returned from students.</w:t>
            </w:r>
          </w:p>
          <w:p w:rsidR="00AF7459" w:rsidRPr="00E33324" w:rsidRDefault="00204855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Personal discussion between the faculty and students.</w:t>
            </w:r>
          </w:p>
          <w:p w:rsidR="00E33324" w:rsidRDefault="00E33324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E33324" w:rsidRPr="00473783" w:rsidRDefault="00E33324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Other Strategies for Evaluation of Teaching by the Instructor or by the Department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CF1EBD" w:rsidRPr="00CF1EBD" w:rsidRDefault="00CF1EBD" w:rsidP="00CF1EBD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Discussion regarding feedback in department meeting.</w:t>
            </w:r>
          </w:p>
          <w:p w:rsidR="00AF7459" w:rsidRPr="00CF1EBD" w:rsidRDefault="00CF1EBD" w:rsidP="00685422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Course Evaluation Survey conducted by the Quality development unit of the College.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Processes for Improvement of Teaching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AF7459" w:rsidRPr="00473783" w:rsidRDefault="00CF1EBD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Making appropriate changes when necessary based on obtained feedback.</w:t>
            </w:r>
          </w:p>
        </w:tc>
      </w:tr>
      <w:tr w:rsidR="00AF7459" w:rsidRPr="00706FC5" w:rsidTr="00AF7459">
        <w:trPr>
          <w:trHeight w:val="1608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EBD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Processes for Verifying Standards of Student Achievement (eg. check marking by an independent faculty member of a sample of student work, periodic exchange and remarking of a sample of assignments with a faculty member in another institution) </w:t>
            </w:r>
          </w:p>
          <w:p w:rsidR="00AF7459" w:rsidRPr="00473783" w:rsidRDefault="00CF1EBD" w:rsidP="009C0BD2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CF1EB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Reviewing of exams by </w:t>
            </w:r>
            <w:r w:rsid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Examination</w:t>
            </w:r>
            <w:r w:rsidRPr="00CF1EB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Committee of the department.</w:t>
            </w: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Describe </w:t>
            </w:r>
            <w:r w:rsidR="00CF1EBD"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planning</w:t>
            </w: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arrangements for periodically reviewing course effectiveness and planning for improvement.</w:t>
            </w:r>
          </w:p>
          <w:p w:rsid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CF1EBD" w:rsidRDefault="00CF1EBD" w:rsidP="00CF1EBD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Under the guidance of the departmental </w:t>
            </w:r>
            <w:r w:rsid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post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graduate education committee, the feedback obtained from students in the form of surveys and individual observations by faculty shall be discussed </w:t>
            </w:r>
            <w:r w:rsidR="00E3332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and reviewed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periodically.</w:t>
            </w:r>
          </w:p>
          <w:p w:rsidR="00CF1EBD" w:rsidRDefault="00CF1EBD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.</w:t>
            </w:r>
          </w:p>
          <w:p w:rsidR="00AF7459" w:rsidRPr="00706FC5" w:rsidRDefault="00AF7459" w:rsidP="00CA6B8D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AF7459" w:rsidRPr="00706FC5" w:rsidRDefault="00AF7459" w:rsidP="00473783">
      <w:pP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sectPr w:rsidR="00AF7459" w:rsidRPr="00706FC5" w:rsidSect="001B074D">
      <w:pgSz w:w="11907" w:h="16839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690" w:rsidRDefault="00E86690" w:rsidP="00D55F9F">
      <w:pPr>
        <w:spacing w:after="0" w:line="240" w:lineRule="auto"/>
      </w:pPr>
      <w:r>
        <w:separator/>
      </w:r>
    </w:p>
  </w:endnote>
  <w:endnote w:type="continuationSeparator" w:id="0">
    <w:p w:rsidR="00E86690" w:rsidRDefault="00E86690" w:rsidP="00D5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690" w:rsidRDefault="00E86690" w:rsidP="00D55F9F">
      <w:pPr>
        <w:spacing w:after="0" w:line="240" w:lineRule="auto"/>
      </w:pPr>
      <w:r>
        <w:separator/>
      </w:r>
    </w:p>
  </w:footnote>
  <w:footnote w:type="continuationSeparator" w:id="0">
    <w:p w:rsidR="00E86690" w:rsidRDefault="00E86690" w:rsidP="00D55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7679B"/>
    <w:multiLevelType w:val="hybridMultilevel"/>
    <w:tmpl w:val="A60EEA6E"/>
    <w:lvl w:ilvl="0" w:tplc="460459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6632"/>
    <w:multiLevelType w:val="hybridMultilevel"/>
    <w:tmpl w:val="B2F048BC"/>
    <w:lvl w:ilvl="0" w:tplc="A3824C9E">
      <w:start w:val="1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533D6D"/>
    <w:multiLevelType w:val="hybridMultilevel"/>
    <w:tmpl w:val="60A61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F16E4"/>
    <w:multiLevelType w:val="hybridMultilevel"/>
    <w:tmpl w:val="E8B865B2"/>
    <w:lvl w:ilvl="0" w:tplc="C73AAD8C">
      <w:start w:val="1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91D5E"/>
    <w:multiLevelType w:val="hybridMultilevel"/>
    <w:tmpl w:val="3B964114"/>
    <w:lvl w:ilvl="0" w:tplc="5E008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483CD6"/>
    <w:multiLevelType w:val="hybridMultilevel"/>
    <w:tmpl w:val="31641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5519E2"/>
    <w:multiLevelType w:val="hybridMultilevel"/>
    <w:tmpl w:val="EAB6E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92104"/>
    <w:multiLevelType w:val="hybridMultilevel"/>
    <w:tmpl w:val="755A5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37346"/>
    <w:multiLevelType w:val="hybridMultilevel"/>
    <w:tmpl w:val="17E06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D17542"/>
    <w:multiLevelType w:val="hybridMultilevel"/>
    <w:tmpl w:val="9058FCF6"/>
    <w:lvl w:ilvl="0" w:tplc="04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>
    <w:nsid w:val="18C9186D"/>
    <w:multiLevelType w:val="hybridMultilevel"/>
    <w:tmpl w:val="8952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475FF7"/>
    <w:multiLevelType w:val="hybridMultilevel"/>
    <w:tmpl w:val="7D6E58E6"/>
    <w:lvl w:ilvl="0" w:tplc="946C98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B3228B"/>
    <w:multiLevelType w:val="hybridMultilevel"/>
    <w:tmpl w:val="96C6B20E"/>
    <w:lvl w:ilvl="0" w:tplc="B8DA37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7D6241"/>
    <w:multiLevelType w:val="hybridMultilevel"/>
    <w:tmpl w:val="6F3E4040"/>
    <w:lvl w:ilvl="0" w:tplc="AEAA2254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C154C5"/>
    <w:multiLevelType w:val="hybridMultilevel"/>
    <w:tmpl w:val="390CD662"/>
    <w:lvl w:ilvl="0" w:tplc="C19E7D1C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FC012D"/>
    <w:multiLevelType w:val="hybridMultilevel"/>
    <w:tmpl w:val="96C6B20E"/>
    <w:lvl w:ilvl="0" w:tplc="B8DA37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1E52A5"/>
    <w:multiLevelType w:val="hybridMultilevel"/>
    <w:tmpl w:val="80EAF7D2"/>
    <w:lvl w:ilvl="0" w:tplc="2350087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F36B6"/>
    <w:multiLevelType w:val="hybridMultilevel"/>
    <w:tmpl w:val="22601B7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65BDA"/>
    <w:multiLevelType w:val="multilevel"/>
    <w:tmpl w:val="A6EC2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437693"/>
    <w:multiLevelType w:val="hybridMultilevel"/>
    <w:tmpl w:val="79C01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2B35C1"/>
    <w:multiLevelType w:val="hybridMultilevel"/>
    <w:tmpl w:val="C54C9E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A597A"/>
    <w:multiLevelType w:val="hybridMultilevel"/>
    <w:tmpl w:val="60A61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B82706"/>
    <w:multiLevelType w:val="singleLevel"/>
    <w:tmpl w:val="04090001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</w:abstractNum>
  <w:abstractNum w:abstractNumId="23">
    <w:nsid w:val="3CFD6403"/>
    <w:multiLevelType w:val="hybridMultilevel"/>
    <w:tmpl w:val="6180CAB2"/>
    <w:lvl w:ilvl="0" w:tplc="B8DA37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2C1D92"/>
    <w:multiLevelType w:val="hybridMultilevel"/>
    <w:tmpl w:val="32DA2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A2CB8"/>
    <w:multiLevelType w:val="hybridMultilevel"/>
    <w:tmpl w:val="99CA5C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560CB8"/>
    <w:multiLevelType w:val="hybridMultilevel"/>
    <w:tmpl w:val="BD6C68A0"/>
    <w:lvl w:ilvl="0" w:tplc="FF02A2F2">
      <w:start w:val="1"/>
      <w:numFmt w:val="decimal"/>
      <w:lvlText w:val="%1."/>
      <w:lvlJc w:val="left"/>
      <w:pPr>
        <w:ind w:left="420" w:hanging="360"/>
      </w:pPr>
      <w:rPr>
        <w:rFonts w:asciiTheme="minorHAnsi" w:hAnsiTheme="minorHAnsi" w:cs="Arial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BAF330E"/>
    <w:multiLevelType w:val="hybridMultilevel"/>
    <w:tmpl w:val="D2968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B342D4"/>
    <w:multiLevelType w:val="hybridMultilevel"/>
    <w:tmpl w:val="DE169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6D1B0F"/>
    <w:multiLevelType w:val="hybridMultilevel"/>
    <w:tmpl w:val="9920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1F2751"/>
    <w:multiLevelType w:val="hybridMultilevel"/>
    <w:tmpl w:val="0D084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8A0EF9"/>
    <w:multiLevelType w:val="hybridMultilevel"/>
    <w:tmpl w:val="0FCA2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B56581"/>
    <w:multiLevelType w:val="hybridMultilevel"/>
    <w:tmpl w:val="FD706D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4B70BE"/>
    <w:multiLevelType w:val="multilevel"/>
    <w:tmpl w:val="1288705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657053EF"/>
    <w:multiLevelType w:val="hybridMultilevel"/>
    <w:tmpl w:val="47421AE6"/>
    <w:lvl w:ilvl="0" w:tplc="DF9AD99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62058"/>
    <w:multiLevelType w:val="hybridMultilevel"/>
    <w:tmpl w:val="0BA66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52011"/>
    <w:multiLevelType w:val="hybridMultilevel"/>
    <w:tmpl w:val="AC305568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7F15923"/>
    <w:multiLevelType w:val="hybridMultilevel"/>
    <w:tmpl w:val="C302B570"/>
    <w:lvl w:ilvl="0" w:tplc="26F2882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8">
    <w:nsid w:val="6A2305F7"/>
    <w:multiLevelType w:val="hybridMultilevel"/>
    <w:tmpl w:val="E7D8C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246847"/>
    <w:multiLevelType w:val="hybridMultilevel"/>
    <w:tmpl w:val="89D6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CF0F56"/>
    <w:multiLevelType w:val="hybridMultilevel"/>
    <w:tmpl w:val="13306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CE06F7"/>
    <w:multiLevelType w:val="hybridMultilevel"/>
    <w:tmpl w:val="F8962104"/>
    <w:lvl w:ilvl="0" w:tplc="EF5AE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5F0224"/>
    <w:multiLevelType w:val="hybridMultilevel"/>
    <w:tmpl w:val="FE1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BD3E0C"/>
    <w:multiLevelType w:val="hybridMultilevel"/>
    <w:tmpl w:val="40C4F3D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4A459A"/>
    <w:multiLevelType w:val="hybridMultilevel"/>
    <w:tmpl w:val="C674ED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0C6EDE"/>
    <w:multiLevelType w:val="hybridMultilevel"/>
    <w:tmpl w:val="F41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F30844"/>
    <w:multiLevelType w:val="hybridMultilevel"/>
    <w:tmpl w:val="788C3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4"/>
  </w:num>
  <w:num w:numId="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3"/>
  </w:num>
  <w:num w:numId="7">
    <w:abstractNumId w:val="1"/>
  </w:num>
  <w:num w:numId="8">
    <w:abstractNumId w:val="41"/>
  </w:num>
  <w:num w:numId="9">
    <w:abstractNumId w:val="3"/>
  </w:num>
  <w:num w:numId="10">
    <w:abstractNumId w:val="17"/>
  </w:num>
  <w:num w:numId="11">
    <w:abstractNumId w:val="22"/>
  </w:num>
  <w:num w:numId="12">
    <w:abstractNumId w:val="18"/>
  </w:num>
  <w:num w:numId="13">
    <w:abstractNumId w:val="35"/>
  </w:num>
  <w:num w:numId="14">
    <w:abstractNumId w:val="11"/>
  </w:num>
  <w:num w:numId="15">
    <w:abstractNumId w:val="9"/>
  </w:num>
  <w:num w:numId="16">
    <w:abstractNumId w:val="10"/>
  </w:num>
  <w:num w:numId="17">
    <w:abstractNumId w:val="27"/>
  </w:num>
  <w:num w:numId="18">
    <w:abstractNumId w:val="5"/>
  </w:num>
  <w:num w:numId="19">
    <w:abstractNumId w:val="14"/>
  </w:num>
  <w:num w:numId="20">
    <w:abstractNumId w:val="0"/>
  </w:num>
  <w:num w:numId="21">
    <w:abstractNumId w:val="32"/>
  </w:num>
  <w:num w:numId="22">
    <w:abstractNumId w:val="42"/>
  </w:num>
  <w:num w:numId="23">
    <w:abstractNumId w:val="7"/>
  </w:num>
  <w:num w:numId="24">
    <w:abstractNumId w:val="39"/>
  </w:num>
  <w:num w:numId="25">
    <w:abstractNumId w:val="6"/>
  </w:num>
  <w:num w:numId="26">
    <w:abstractNumId w:val="36"/>
  </w:num>
  <w:num w:numId="27">
    <w:abstractNumId w:val="31"/>
  </w:num>
  <w:num w:numId="28">
    <w:abstractNumId w:val="29"/>
  </w:num>
  <w:num w:numId="29">
    <w:abstractNumId w:val="19"/>
  </w:num>
  <w:num w:numId="30">
    <w:abstractNumId w:val="2"/>
  </w:num>
  <w:num w:numId="31">
    <w:abstractNumId w:val="24"/>
  </w:num>
  <w:num w:numId="32">
    <w:abstractNumId w:val="46"/>
  </w:num>
  <w:num w:numId="33">
    <w:abstractNumId w:val="30"/>
  </w:num>
  <w:num w:numId="34">
    <w:abstractNumId w:val="45"/>
  </w:num>
  <w:num w:numId="35">
    <w:abstractNumId w:val="38"/>
  </w:num>
  <w:num w:numId="36">
    <w:abstractNumId w:val="40"/>
  </w:num>
  <w:num w:numId="37">
    <w:abstractNumId w:val="28"/>
  </w:num>
  <w:num w:numId="38">
    <w:abstractNumId w:val="34"/>
  </w:num>
  <w:num w:numId="39">
    <w:abstractNumId w:val="20"/>
  </w:num>
  <w:num w:numId="40">
    <w:abstractNumId w:val="43"/>
  </w:num>
  <w:num w:numId="41">
    <w:abstractNumId w:val="26"/>
  </w:num>
  <w:num w:numId="42">
    <w:abstractNumId w:val="8"/>
  </w:num>
  <w:num w:numId="43">
    <w:abstractNumId w:val="23"/>
  </w:num>
  <w:num w:numId="44">
    <w:abstractNumId w:val="15"/>
  </w:num>
  <w:num w:numId="45">
    <w:abstractNumId w:val="12"/>
  </w:num>
  <w:num w:numId="46">
    <w:abstractNumId w:val="21"/>
  </w:num>
  <w:num w:numId="47">
    <w:abstractNumId w:val="25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59"/>
    <w:rsid w:val="0001473D"/>
    <w:rsid w:val="00042702"/>
    <w:rsid w:val="0005050D"/>
    <w:rsid w:val="000752CB"/>
    <w:rsid w:val="00082115"/>
    <w:rsid w:val="00094518"/>
    <w:rsid w:val="000C338E"/>
    <w:rsid w:val="000C6E4F"/>
    <w:rsid w:val="000E3E5E"/>
    <w:rsid w:val="00114242"/>
    <w:rsid w:val="00114C76"/>
    <w:rsid w:val="00140F02"/>
    <w:rsid w:val="001421F1"/>
    <w:rsid w:val="00162E6F"/>
    <w:rsid w:val="00181A45"/>
    <w:rsid w:val="001842BF"/>
    <w:rsid w:val="001A4600"/>
    <w:rsid w:val="001B074D"/>
    <w:rsid w:val="001D5874"/>
    <w:rsid w:val="001F4A3C"/>
    <w:rsid w:val="002047D6"/>
    <w:rsid w:val="00204855"/>
    <w:rsid w:val="00207719"/>
    <w:rsid w:val="002118E5"/>
    <w:rsid w:val="002170AB"/>
    <w:rsid w:val="00217B2F"/>
    <w:rsid w:val="00231700"/>
    <w:rsid w:val="0023189A"/>
    <w:rsid w:val="00244F85"/>
    <w:rsid w:val="0026155A"/>
    <w:rsid w:val="002B274B"/>
    <w:rsid w:val="002B3EA3"/>
    <w:rsid w:val="002C39D6"/>
    <w:rsid w:val="00343609"/>
    <w:rsid w:val="00366F41"/>
    <w:rsid w:val="00371D64"/>
    <w:rsid w:val="003A5AB6"/>
    <w:rsid w:val="003B46BB"/>
    <w:rsid w:val="003D699A"/>
    <w:rsid w:val="003F6A1C"/>
    <w:rsid w:val="00417CB5"/>
    <w:rsid w:val="0042749B"/>
    <w:rsid w:val="00447680"/>
    <w:rsid w:val="00451B82"/>
    <w:rsid w:val="00473783"/>
    <w:rsid w:val="00483F12"/>
    <w:rsid w:val="00493DFA"/>
    <w:rsid w:val="004A6EC4"/>
    <w:rsid w:val="004B0A4A"/>
    <w:rsid w:val="004C5C93"/>
    <w:rsid w:val="004C6963"/>
    <w:rsid w:val="004D688C"/>
    <w:rsid w:val="0050274E"/>
    <w:rsid w:val="00514FBE"/>
    <w:rsid w:val="00545BC8"/>
    <w:rsid w:val="005743F6"/>
    <w:rsid w:val="005840C4"/>
    <w:rsid w:val="00605269"/>
    <w:rsid w:val="0062032B"/>
    <w:rsid w:val="0062538A"/>
    <w:rsid w:val="006664DB"/>
    <w:rsid w:val="00670E7E"/>
    <w:rsid w:val="00674632"/>
    <w:rsid w:val="00685422"/>
    <w:rsid w:val="006B0BEC"/>
    <w:rsid w:val="006C5A20"/>
    <w:rsid w:val="006E1ACA"/>
    <w:rsid w:val="006F45DB"/>
    <w:rsid w:val="006F6C7F"/>
    <w:rsid w:val="00706FC5"/>
    <w:rsid w:val="00711AA9"/>
    <w:rsid w:val="0072017F"/>
    <w:rsid w:val="00732EA0"/>
    <w:rsid w:val="00746D57"/>
    <w:rsid w:val="00753881"/>
    <w:rsid w:val="007554EE"/>
    <w:rsid w:val="0075595C"/>
    <w:rsid w:val="00776FB9"/>
    <w:rsid w:val="007C42FD"/>
    <w:rsid w:val="00801996"/>
    <w:rsid w:val="00814FF2"/>
    <w:rsid w:val="00820D7C"/>
    <w:rsid w:val="00862B7F"/>
    <w:rsid w:val="00863E86"/>
    <w:rsid w:val="00874096"/>
    <w:rsid w:val="008B127C"/>
    <w:rsid w:val="008E233D"/>
    <w:rsid w:val="008E33C3"/>
    <w:rsid w:val="009117FB"/>
    <w:rsid w:val="00912784"/>
    <w:rsid w:val="00917B9C"/>
    <w:rsid w:val="00920620"/>
    <w:rsid w:val="00937C2F"/>
    <w:rsid w:val="00965B83"/>
    <w:rsid w:val="009723C7"/>
    <w:rsid w:val="0099787C"/>
    <w:rsid w:val="009A0219"/>
    <w:rsid w:val="009C0BD2"/>
    <w:rsid w:val="009C6D72"/>
    <w:rsid w:val="009E00E9"/>
    <w:rsid w:val="009F096D"/>
    <w:rsid w:val="00A10D59"/>
    <w:rsid w:val="00A133AF"/>
    <w:rsid w:val="00A15E82"/>
    <w:rsid w:val="00A255CC"/>
    <w:rsid w:val="00A25BAA"/>
    <w:rsid w:val="00A35610"/>
    <w:rsid w:val="00A36C6E"/>
    <w:rsid w:val="00A679C1"/>
    <w:rsid w:val="00A82809"/>
    <w:rsid w:val="00A92658"/>
    <w:rsid w:val="00A926DC"/>
    <w:rsid w:val="00A9590A"/>
    <w:rsid w:val="00A97BCD"/>
    <w:rsid w:val="00AC0839"/>
    <w:rsid w:val="00AD01F1"/>
    <w:rsid w:val="00AF7459"/>
    <w:rsid w:val="00B012C3"/>
    <w:rsid w:val="00B53638"/>
    <w:rsid w:val="00B56D04"/>
    <w:rsid w:val="00B60518"/>
    <w:rsid w:val="00B71E44"/>
    <w:rsid w:val="00B732CA"/>
    <w:rsid w:val="00BC66A5"/>
    <w:rsid w:val="00C06052"/>
    <w:rsid w:val="00C43477"/>
    <w:rsid w:val="00CA464E"/>
    <w:rsid w:val="00CA6B8D"/>
    <w:rsid w:val="00CB3D29"/>
    <w:rsid w:val="00CC2E20"/>
    <w:rsid w:val="00CC34A6"/>
    <w:rsid w:val="00CC7DEB"/>
    <w:rsid w:val="00CD09B6"/>
    <w:rsid w:val="00CE68B6"/>
    <w:rsid w:val="00CF1EBD"/>
    <w:rsid w:val="00CF2605"/>
    <w:rsid w:val="00CF77B2"/>
    <w:rsid w:val="00D041FD"/>
    <w:rsid w:val="00D2041F"/>
    <w:rsid w:val="00D21B49"/>
    <w:rsid w:val="00D36D65"/>
    <w:rsid w:val="00D55F9F"/>
    <w:rsid w:val="00D6761E"/>
    <w:rsid w:val="00D7240B"/>
    <w:rsid w:val="00D7655E"/>
    <w:rsid w:val="00D83FC0"/>
    <w:rsid w:val="00DC03E1"/>
    <w:rsid w:val="00DC08CD"/>
    <w:rsid w:val="00DF6177"/>
    <w:rsid w:val="00E024B8"/>
    <w:rsid w:val="00E23633"/>
    <w:rsid w:val="00E33324"/>
    <w:rsid w:val="00E3413C"/>
    <w:rsid w:val="00E47819"/>
    <w:rsid w:val="00E86690"/>
    <w:rsid w:val="00EA5757"/>
    <w:rsid w:val="00EC4D19"/>
    <w:rsid w:val="00EF05B1"/>
    <w:rsid w:val="00F44F80"/>
    <w:rsid w:val="00F5102D"/>
    <w:rsid w:val="00F77B5B"/>
    <w:rsid w:val="00FC3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7B8817-59E6-44DC-AC66-CE100196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6A5"/>
  </w:style>
  <w:style w:type="paragraph" w:styleId="Heading1">
    <w:name w:val="heading 1"/>
    <w:basedOn w:val="Normal"/>
    <w:link w:val="Heading1Char"/>
    <w:uiPriority w:val="9"/>
    <w:qFormat/>
    <w:rsid w:val="00AF74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F74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AF745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7">
    <w:name w:val="heading 7"/>
    <w:basedOn w:val="Normal"/>
    <w:link w:val="Heading7Char"/>
    <w:uiPriority w:val="9"/>
    <w:qFormat/>
    <w:rsid w:val="00AF7459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link w:val="Heading9Char"/>
    <w:uiPriority w:val="9"/>
    <w:qFormat/>
    <w:rsid w:val="00AF7459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4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F74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F74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F7459"/>
    <w:rPr>
      <w:rFonts w:ascii="Verdana" w:hAnsi="Verdana" w:hint="default"/>
      <w:color w:val="7A9F09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F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F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F9F"/>
  </w:style>
  <w:style w:type="paragraph" w:styleId="NoSpacing">
    <w:name w:val="No Spacing"/>
    <w:link w:val="NoSpacingChar"/>
    <w:uiPriority w:val="1"/>
    <w:qFormat/>
    <w:rsid w:val="00A36C6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36C6E"/>
  </w:style>
  <w:style w:type="paragraph" w:styleId="NormalWeb">
    <w:name w:val="Normal (Web)"/>
    <w:basedOn w:val="Normal"/>
    <w:rsid w:val="00965B8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343609"/>
    <w:pPr>
      <w:ind w:left="720"/>
      <w:contextualSpacing/>
    </w:pPr>
  </w:style>
  <w:style w:type="character" w:customStyle="1" w:styleId="fn">
    <w:name w:val="fn"/>
    <w:basedOn w:val="DefaultParagraphFont"/>
    <w:rsid w:val="00A926DC"/>
  </w:style>
  <w:style w:type="character" w:customStyle="1" w:styleId="num-ratings">
    <w:name w:val="num-ratings"/>
    <w:basedOn w:val="DefaultParagraphFont"/>
    <w:rsid w:val="00A926DC"/>
  </w:style>
  <w:style w:type="character" w:customStyle="1" w:styleId="count">
    <w:name w:val="count"/>
    <w:basedOn w:val="DefaultParagraphFont"/>
    <w:rsid w:val="00A92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</PublishDate>
  <Abstract>Vice-Dean  Ship for Development and Quality at College of  Dentistry , King Saud University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7C48AB-8D88-4088-96B6-17B437F6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 Form</vt:lpstr>
    </vt:vector>
  </TitlesOfParts>
  <Company/>
  <LinksUpToDate>false</LinksUpToDate>
  <CharactersWithSpaces>11304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 Form</dc:title>
  <dc:subject>In Accordance to the Guidelines by the National Commission for Assessment and Academic Accreditation  NCAAA</dc:subject>
  <dc:creator>Vice Dean-Ship for Development &amp; Quality</dc:creator>
  <cp:lastModifiedBy>Sundar Ramalingam</cp:lastModifiedBy>
  <cp:revision>4</cp:revision>
  <cp:lastPrinted>2010-06-22T06:29:00Z</cp:lastPrinted>
  <dcterms:created xsi:type="dcterms:W3CDTF">2016-02-07T11:47:00Z</dcterms:created>
  <dcterms:modified xsi:type="dcterms:W3CDTF">2016-02-08T09:01:00Z</dcterms:modified>
</cp:coreProperties>
</file>