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12" w:rsidRPr="00D13512" w:rsidRDefault="00D13512" w:rsidP="00D13512">
      <w:pPr>
        <w:shd w:val="clear" w:color="auto" w:fill="F2F9FC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0"/>
          <w:szCs w:val="20"/>
          <w:lang/>
        </w:rPr>
      </w:pPr>
      <w:r w:rsidRPr="00D13512">
        <w:rPr>
          <w:rFonts w:ascii="Tahoma" w:eastAsia="Times New Roman" w:hAnsi="Tahoma" w:cs="Tahoma"/>
          <w:b/>
          <w:bCs/>
          <w:color w:val="282828"/>
          <w:szCs w:val="20"/>
          <w:rtl/>
          <w:lang/>
        </w:rPr>
        <w:t>بعض الكتب والمراجع</w:t>
      </w:r>
    </w:p>
    <w:p w:rsidR="00D13512" w:rsidRDefault="00D13512" w:rsidP="00D13512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0"/>
          <w:szCs w:val="20"/>
          <w:lang/>
        </w:rPr>
      </w:pPr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Essentials of </w:t>
      </w:r>
      <w:proofErr w:type="spell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Pathophysiology</w:t>
      </w:r>
      <w:proofErr w:type="spell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: Concepts of Altered Health States </w:t>
      </w:r>
      <w:proofErr w:type="gram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By</w:t>
      </w:r>
      <w:proofErr w:type="gram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 Carol Mattson </w:t>
      </w:r>
      <w:proofErr w:type="spell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Porth</w:t>
      </w:r>
      <w:proofErr w:type="spellEnd"/>
    </w:p>
    <w:p w:rsidR="00D13512" w:rsidRPr="00D13512" w:rsidRDefault="00D13512" w:rsidP="00D13512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0"/>
          <w:szCs w:val="20"/>
          <w:rtl/>
          <w:lang/>
        </w:rPr>
      </w:pPr>
      <w:proofErr w:type="spellStart"/>
      <w:proofErr w:type="gram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Pthophysiology</w:t>
      </w:r>
      <w:proofErr w:type="spell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 :the</w:t>
      </w:r>
      <w:proofErr w:type="gram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 biologic basis for disease in adult and children by Kathryn L </w:t>
      </w:r>
      <w:proofErr w:type="spell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McCance</w:t>
      </w:r>
      <w:proofErr w:type="spell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; Sue E </w:t>
      </w:r>
      <w:proofErr w:type="spell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Huether</w:t>
      </w:r>
      <w:proofErr w:type="spell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 </w:t>
      </w:r>
      <w:proofErr w:type="spell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feifth</w:t>
      </w:r>
      <w:proofErr w:type="spell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 </w:t>
      </w:r>
      <w:proofErr w:type="spell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edetio</w:t>
      </w:r>
      <w:proofErr w:type="spellEnd"/>
    </w:p>
    <w:p w:rsidR="00D13512" w:rsidRPr="00D13512" w:rsidRDefault="00D13512" w:rsidP="00D13512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0"/>
          <w:szCs w:val="20"/>
          <w:rtl/>
          <w:lang/>
        </w:rPr>
      </w:pPr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Handbook of </w:t>
      </w:r>
      <w:proofErr w:type="spell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Pathophysiology</w:t>
      </w:r>
      <w:proofErr w:type="spell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 second edition</w:t>
      </w:r>
    </w:p>
    <w:p w:rsidR="00D13512" w:rsidRPr="00D13512" w:rsidRDefault="00D13512" w:rsidP="00D13512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82828"/>
          <w:sz w:val="20"/>
          <w:szCs w:val="20"/>
          <w:u w:val="single"/>
          <w:rtl/>
          <w:lang/>
        </w:rPr>
      </w:pPr>
      <w:r w:rsidRPr="00D13512">
        <w:rPr>
          <w:rFonts w:ascii="Tahoma" w:eastAsia="Times New Roman" w:hAnsi="Tahoma" w:cs="Tahoma"/>
          <w:b/>
          <w:bCs/>
          <w:color w:val="282828"/>
          <w:sz w:val="20"/>
          <w:szCs w:val="20"/>
          <w:u w:val="single"/>
          <w:lang/>
        </w:rPr>
        <w:t>CLS 421:   Lectures Outline</w:t>
      </w:r>
    </w:p>
    <w:p w:rsidR="00D13512" w:rsidRPr="000221BB" w:rsidRDefault="00D13512" w:rsidP="00D13512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 w:hint="cs"/>
          <w:b/>
          <w:bCs/>
          <w:color w:val="282828"/>
          <w:sz w:val="20"/>
          <w:szCs w:val="20"/>
          <w:u w:val="single"/>
          <w:rtl/>
        </w:rPr>
      </w:pPr>
      <w:proofErr w:type="gramStart"/>
      <w:r w:rsidRPr="00D13512">
        <w:rPr>
          <w:rFonts w:ascii="Tahoma" w:eastAsia="Times New Roman" w:hAnsi="Tahoma" w:cs="Tahoma"/>
          <w:b/>
          <w:bCs/>
          <w:color w:val="282828"/>
          <w:sz w:val="20"/>
          <w:szCs w:val="20"/>
          <w:u w:val="single"/>
          <w:lang/>
        </w:rPr>
        <w:t>assessment</w:t>
      </w:r>
      <w:proofErr w:type="gramEnd"/>
      <w:r w:rsidRPr="00D13512">
        <w:rPr>
          <w:rFonts w:ascii="Tahoma" w:eastAsia="Times New Roman" w:hAnsi="Tahoma" w:cs="Tahoma"/>
          <w:b/>
          <w:bCs/>
          <w:color w:val="282828"/>
          <w:sz w:val="20"/>
          <w:szCs w:val="20"/>
          <w:u w:val="single"/>
          <w:lang/>
        </w:rPr>
        <w:t xml:space="preserve"> method total marks in practical part divided</w:t>
      </w:r>
      <w:r w:rsidR="000221BB">
        <w:rPr>
          <w:rFonts w:ascii="Tahoma" w:eastAsia="Times New Roman" w:hAnsi="Tahoma" w:cs="Tahoma"/>
          <w:b/>
          <w:bCs/>
          <w:color w:val="282828"/>
          <w:sz w:val="20"/>
          <w:szCs w:val="20"/>
          <w:u w:val="single"/>
          <w:lang/>
        </w:rPr>
        <w:t xml:space="preserve"> </w:t>
      </w:r>
      <w:r w:rsidR="000221BB">
        <w:rPr>
          <w:rFonts w:ascii="Tahoma" w:eastAsia="Times New Roman" w:hAnsi="Tahoma" w:cs="Tahoma" w:hint="cs"/>
          <w:b/>
          <w:bCs/>
          <w:color w:val="282828"/>
          <w:sz w:val="20"/>
          <w:szCs w:val="20"/>
          <w:u w:val="single"/>
          <w:rtl/>
        </w:rPr>
        <w:t xml:space="preserve">توزيع الدرجات </w:t>
      </w:r>
    </w:p>
    <w:p w:rsidR="00D13512" w:rsidRDefault="00D13512" w:rsidP="00D13512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0"/>
          <w:szCs w:val="20"/>
          <w:lang/>
        </w:rPr>
      </w:pPr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23% first midterm exam</w:t>
      </w:r>
    </w:p>
    <w:p w:rsidR="00D13512" w:rsidRDefault="00D13512" w:rsidP="00D13512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0"/>
          <w:szCs w:val="20"/>
          <w:lang/>
        </w:rPr>
      </w:pPr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23% </w:t>
      </w:r>
      <w:proofErr w:type="gram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for  second</w:t>
      </w:r>
      <w:proofErr w:type="gram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 midterm</w:t>
      </w:r>
    </w:p>
    <w:p w:rsidR="000221BB" w:rsidRDefault="000221BB" w:rsidP="000221BB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0"/>
          <w:szCs w:val="20"/>
          <w:lang/>
        </w:rPr>
      </w:pPr>
      <w:r>
        <w:rPr>
          <w:rFonts w:ascii="Tahoma" w:eastAsia="Times New Roman" w:hAnsi="Tahoma" w:cs="Tahoma"/>
          <w:color w:val="282828"/>
          <w:sz w:val="20"/>
          <w:szCs w:val="20"/>
          <w:lang/>
        </w:rPr>
        <w:t>4</w:t>
      </w:r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% for home work: the student should be prepared </w:t>
      </w:r>
      <w:proofErr w:type="spell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powerpoint</w:t>
      </w:r>
      <w:proofErr w:type="spell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 presentation for one</w:t>
      </w:r>
      <w:proofErr w:type="gramStart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  of</w:t>
      </w:r>
      <w:proofErr w:type="gramEnd"/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 the subjects as home work</w:t>
      </w:r>
    </w:p>
    <w:p w:rsidR="000221BB" w:rsidRDefault="000221BB" w:rsidP="000221BB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0"/>
          <w:szCs w:val="20"/>
          <w:lang/>
        </w:rPr>
      </w:pPr>
      <w:r w:rsidRPr="00D13512">
        <w:rPr>
          <w:rFonts w:ascii="Tahoma" w:eastAsia="Times New Roman" w:hAnsi="Tahoma" w:cs="Tahoma"/>
          <w:color w:val="282828"/>
          <w:sz w:val="20"/>
          <w:szCs w:val="20"/>
          <w:lang/>
        </w:rPr>
        <w:t>50% for fina</w:t>
      </w:r>
      <w:r>
        <w:rPr>
          <w:rFonts w:ascii="Tahoma" w:eastAsia="Times New Roman" w:hAnsi="Tahoma" w:cs="Tahoma"/>
          <w:color w:val="282828"/>
          <w:sz w:val="20"/>
          <w:szCs w:val="20"/>
          <w:lang/>
        </w:rPr>
        <w:t xml:space="preserve">l exam </w:t>
      </w:r>
    </w:p>
    <w:p w:rsidR="000221BB" w:rsidRDefault="000221BB" w:rsidP="000221BB">
      <w:pPr>
        <w:shd w:val="clear" w:color="auto" w:fill="F2F9FC"/>
        <w:spacing w:before="100" w:beforeAutospacing="1" w:after="100" w:afterAutospacing="1" w:line="240" w:lineRule="auto"/>
        <w:rPr>
          <w:rFonts w:ascii="Tahoma" w:eastAsia="Times New Roman" w:hAnsi="Tahoma" w:cs="Tahoma" w:hint="cs"/>
          <w:color w:val="282828"/>
          <w:sz w:val="20"/>
          <w:szCs w:val="20"/>
          <w:rtl/>
        </w:rPr>
      </w:pPr>
      <w:r>
        <w:rPr>
          <w:rFonts w:ascii="Tahoma" w:eastAsia="Times New Roman" w:hAnsi="Tahoma" w:cs="Tahoma" w:hint="cs"/>
          <w:color w:val="282828"/>
          <w:sz w:val="20"/>
          <w:szCs w:val="20"/>
          <w:rtl/>
        </w:rPr>
        <w:t xml:space="preserve">توزيع </w:t>
      </w:r>
      <w:proofErr w:type="gramStart"/>
      <w:r>
        <w:rPr>
          <w:rFonts w:ascii="Tahoma" w:eastAsia="Times New Roman" w:hAnsi="Tahoma" w:cs="Tahoma" w:hint="cs"/>
          <w:color w:val="282828"/>
          <w:sz w:val="20"/>
          <w:szCs w:val="20"/>
          <w:rtl/>
        </w:rPr>
        <w:t>المحاضرات :</w:t>
      </w:r>
      <w:proofErr w:type="gramEnd"/>
    </w:p>
    <w:tbl>
      <w:tblPr>
        <w:tblStyle w:val="TableGrid"/>
        <w:tblpPr w:leftFromText="180" w:rightFromText="180" w:vertAnchor="page" w:horzAnchor="margin" w:tblpY="8056"/>
        <w:tblW w:w="0" w:type="auto"/>
        <w:tblLook w:val="04A0"/>
      </w:tblPr>
      <w:tblGrid>
        <w:gridCol w:w="1350"/>
        <w:gridCol w:w="8028"/>
      </w:tblGrid>
      <w:tr w:rsidR="000221BB" w:rsidTr="000221BB">
        <w:tc>
          <w:tcPr>
            <w:tcW w:w="1350" w:type="dxa"/>
          </w:tcPr>
          <w:p w:rsidR="000221BB" w:rsidRDefault="000221BB" w:rsidP="000221BB">
            <w:r>
              <w:t>weeks</w:t>
            </w:r>
          </w:p>
        </w:tc>
        <w:tc>
          <w:tcPr>
            <w:tcW w:w="8028" w:type="dxa"/>
          </w:tcPr>
          <w:p w:rsidR="000221BB" w:rsidRDefault="000221BB" w:rsidP="000221BB">
            <w:r>
              <w:t xml:space="preserve">Labe lecture 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 1</w:t>
            </w:r>
          </w:p>
        </w:tc>
        <w:tc>
          <w:tcPr>
            <w:tcW w:w="8028" w:type="dxa"/>
          </w:tcPr>
          <w:p w:rsidR="000221BB" w:rsidRDefault="000221BB" w:rsidP="000221BB">
            <w:r>
              <w:t xml:space="preserve">Cell injuries &amp;adaptation 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Week2</w:t>
            </w:r>
          </w:p>
        </w:tc>
        <w:tc>
          <w:tcPr>
            <w:tcW w:w="8028" w:type="dxa"/>
          </w:tcPr>
          <w:p w:rsidR="000221BB" w:rsidRDefault="000221BB" w:rsidP="000221BB">
            <w:r>
              <w:t>Path physiology of neoplasm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 3</w:t>
            </w:r>
          </w:p>
        </w:tc>
        <w:tc>
          <w:tcPr>
            <w:tcW w:w="8028" w:type="dxa"/>
          </w:tcPr>
          <w:p w:rsidR="000221BB" w:rsidRDefault="000221BB" w:rsidP="000221BB">
            <w:proofErr w:type="spellStart"/>
            <w:r>
              <w:t>Pathophysiology</w:t>
            </w:r>
            <w:proofErr w:type="spellEnd"/>
            <w:r>
              <w:t xml:space="preserve"> of blood and anemia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 4</w:t>
            </w:r>
          </w:p>
        </w:tc>
        <w:tc>
          <w:tcPr>
            <w:tcW w:w="8028" w:type="dxa"/>
          </w:tcPr>
          <w:p w:rsidR="000221BB" w:rsidRDefault="000221BB" w:rsidP="000221BB">
            <w:proofErr w:type="spellStart"/>
            <w:r>
              <w:t>Pathophysiology</w:t>
            </w:r>
            <w:proofErr w:type="spellEnd"/>
            <w:r>
              <w:t xml:space="preserve">  of immune system and inflammation </w:t>
            </w:r>
          </w:p>
          <w:p w:rsidR="000221BB" w:rsidRDefault="000221BB" w:rsidP="000221BB">
            <w:r>
              <w:t>+</w:t>
            </w:r>
          </w:p>
          <w:p w:rsidR="000221BB" w:rsidRDefault="000221BB" w:rsidP="000221BB">
            <w:r>
              <w:t>&amp; mid1 exam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 5</w:t>
            </w:r>
          </w:p>
        </w:tc>
        <w:tc>
          <w:tcPr>
            <w:tcW w:w="8028" w:type="dxa"/>
          </w:tcPr>
          <w:p w:rsidR="000221BB" w:rsidRDefault="000221BB" w:rsidP="000221BB">
            <w:proofErr w:type="spellStart"/>
            <w:r>
              <w:t>Pathophysiology</w:t>
            </w:r>
            <w:proofErr w:type="spellEnd"/>
            <w:r>
              <w:t xml:space="preserve"> of  cardiovascular system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 6</w:t>
            </w:r>
          </w:p>
        </w:tc>
        <w:tc>
          <w:tcPr>
            <w:tcW w:w="8028" w:type="dxa"/>
          </w:tcPr>
          <w:p w:rsidR="000221BB" w:rsidRDefault="000221BB" w:rsidP="000221BB">
            <w:proofErr w:type="spellStart"/>
            <w:r>
              <w:t>Patho</w:t>
            </w:r>
            <w:proofErr w:type="spellEnd"/>
            <w:r>
              <w:t xml:space="preserve"> physiology of respiratory system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 7</w:t>
            </w:r>
          </w:p>
        </w:tc>
        <w:tc>
          <w:tcPr>
            <w:tcW w:w="8028" w:type="dxa"/>
          </w:tcPr>
          <w:p w:rsidR="000221BB" w:rsidRDefault="000221BB" w:rsidP="000221BB">
            <w:proofErr w:type="spellStart"/>
            <w:r>
              <w:t>Pathophysiology</w:t>
            </w:r>
            <w:proofErr w:type="spellEnd"/>
            <w:r>
              <w:t xml:space="preserve"> of  renal system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 8</w:t>
            </w:r>
          </w:p>
        </w:tc>
        <w:tc>
          <w:tcPr>
            <w:tcW w:w="8028" w:type="dxa"/>
          </w:tcPr>
          <w:p w:rsidR="000221BB" w:rsidRDefault="000221BB" w:rsidP="000221BB">
            <w:proofErr w:type="spellStart"/>
            <w:r>
              <w:t>Pathophysiology</w:t>
            </w:r>
            <w:proofErr w:type="spellEnd"/>
            <w:r>
              <w:t xml:space="preserve"> of digestive system</w:t>
            </w:r>
          </w:p>
          <w:p w:rsidR="000221BB" w:rsidRDefault="000221BB" w:rsidP="000221BB">
            <w:r>
              <w:t xml:space="preserve">+ </w:t>
            </w:r>
          </w:p>
          <w:p w:rsidR="000221BB" w:rsidRDefault="000221BB" w:rsidP="000221BB">
            <w:r>
              <w:t>Mid 2 exam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 9</w:t>
            </w:r>
          </w:p>
        </w:tc>
        <w:tc>
          <w:tcPr>
            <w:tcW w:w="8028" w:type="dxa"/>
          </w:tcPr>
          <w:p w:rsidR="000221BB" w:rsidRDefault="000221BB" w:rsidP="000221BB">
            <w:proofErr w:type="spellStart"/>
            <w:r>
              <w:t>Pathophysiology</w:t>
            </w:r>
            <w:proofErr w:type="spellEnd"/>
            <w:r>
              <w:t xml:space="preserve"> of endocrine system</w:t>
            </w:r>
          </w:p>
        </w:tc>
      </w:tr>
      <w:tr w:rsidR="000221BB" w:rsidTr="000221BB">
        <w:tc>
          <w:tcPr>
            <w:tcW w:w="1350" w:type="dxa"/>
          </w:tcPr>
          <w:p w:rsidR="000221BB" w:rsidRDefault="000221BB" w:rsidP="000221BB">
            <w:r>
              <w:t>Week  10</w:t>
            </w:r>
          </w:p>
        </w:tc>
        <w:tc>
          <w:tcPr>
            <w:tcW w:w="8028" w:type="dxa"/>
          </w:tcPr>
          <w:p w:rsidR="000221BB" w:rsidRDefault="000221BB" w:rsidP="000221BB">
            <w:proofErr w:type="spellStart"/>
            <w:r>
              <w:t>Pathophysiology</w:t>
            </w:r>
            <w:proofErr w:type="spellEnd"/>
            <w:r>
              <w:t xml:space="preserve"> of metabolism and obesity </w:t>
            </w:r>
          </w:p>
        </w:tc>
      </w:tr>
    </w:tbl>
    <w:p w:rsidR="00D13512" w:rsidRPr="005C04C6" w:rsidRDefault="00D13512" w:rsidP="00D13512">
      <w:pPr>
        <w:rPr>
          <w:sz w:val="20"/>
          <w:rtl/>
          <w:lang/>
        </w:rPr>
      </w:pPr>
    </w:p>
    <w:sectPr w:rsidR="00D13512" w:rsidRPr="005C04C6" w:rsidSect="0013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B6"/>
    <w:multiLevelType w:val="multilevel"/>
    <w:tmpl w:val="0CF4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20548"/>
    <w:multiLevelType w:val="multilevel"/>
    <w:tmpl w:val="A70E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4C6"/>
    <w:rsid w:val="000221BB"/>
    <w:rsid w:val="00136A35"/>
    <w:rsid w:val="005C04C6"/>
    <w:rsid w:val="008B079E"/>
    <w:rsid w:val="00D1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35"/>
  </w:style>
  <w:style w:type="paragraph" w:styleId="Heading1">
    <w:name w:val="heading 1"/>
    <w:basedOn w:val="Normal"/>
    <w:link w:val="Heading1Char"/>
    <w:uiPriority w:val="9"/>
    <w:qFormat/>
    <w:rsid w:val="005C04C6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4C6"/>
    <w:rPr>
      <w:rFonts w:ascii="Georgia" w:eastAsia="Times New Roman" w:hAnsi="Georgia" w:cs="Times New Roman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C04C6"/>
    <w:rPr>
      <w:b/>
      <w:bCs/>
    </w:rPr>
  </w:style>
  <w:style w:type="paragraph" w:styleId="NormalWeb">
    <w:name w:val="Normal (Web)"/>
    <w:basedOn w:val="Normal"/>
    <w:uiPriority w:val="99"/>
    <w:unhideWhenUsed/>
    <w:rsid w:val="005C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md">
    <w:name w:val="addmd"/>
    <w:basedOn w:val="DefaultParagraphFont"/>
    <w:rsid w:val="005C04C6"/>
  </w:style>
  <w:style w:type="character" w:customStyle="1" w:styleId="fn">
    <w:name w:val="fn"/>
    <w:basedOn w:val="DefaultParagraphFont"/>
    <w:rsid w:val="005C04C6"/>
  </w:style>
  <w:style w:type="table" w:styleId="TableGrid">
    <w:name w:val="Table Grid"/>
    <w:basedOn w:val="TableNormal"/>
    <w:uiPriority w:val="59"/>
    <w:rsid w:val="00D13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0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9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2012-05-04T17:23:00Z</dcterms:created>
  <dcterms:modified xsi:type="dcterms:W3CDTF">2012-05-04T17:51:00Z</dcterms:modified>
</cp:coreProperties>
</file>