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  <w:u w:val="single"/>
        </w:rPr>
        <w:t>Questions  (1 - 7 ) are about reporting of communicable diseases in KSA :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>1-The control of any communicable disease requires: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     </w:t>
      </w:r>
      <w:r w:rsidRPr="00B63A71">
        <w:rPr>
          <w:rFonts w:asciiTheme="majorBidi" w:hAnsiTheme="majorBidi" w:cstheme="majorBidi"/>
          <w:sz w:val="44"/>
          <w:szCs w:val="44"/>
        </w:rPr>
        <w:t>a.   Understanding  the epidemiology of that disease .</w:t>
      </w:r>
    </w:p>
    <w:p w:rsidR="00B63A71" w:rsidRPr="00B63A71" w:rsidRDefault="00B63A71" w:rsidP="00B63A71">
      <w:pPr>
        <w:tabs>
          <w:tab w:val="left" w:pos="0"/>
          <w:tab w:val="left" w:pos="270"/>
          <w:tab w:val="left" w:pos="1080"/>
          <w:tab w:val="left" w:pos="1440"/>
          <w:tab w:val="left" w:pos="1620"/>
          <w:tab w:val="left" w:pos="1710"/>
        </w:tabs>
        <w:ind w:left="1440" w:hanging="135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b.   Reliable surveillance data on disease prevalence and distribution.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c.    The presence of adequate medications.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d.    ( a + b + c ) 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 </w:t>
      </w: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e.    ( a + b )  only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2-    The reporting system functions in the following stages Excluding :-</w:t>
      </w: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63A71" w:rsidRPr="00B63A71" w:rsidRDefault="00B63A71" w:rsidP="00B63A71">
      <w:pPr>
        <w:tabs>
          <w:tab w:val="left" w:pos="0"/>
          <w:tab w:val="left" w:pos="630"/>
          <w:tab w:val="left" w:pos="1080"/>
          <w:tab w:val="left" w:pos="1530"/>
          <w:tab w:val="left" w:pos="2880"/>
        </w:tabs>
        <w:ind w:left="1170" w:hanging="108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    a. Collection of basic data in the local community where disease occurs.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b. </w:t>
      </w:r>
      <w:r w:rsidRPr="00B63A71">
        <w:rPr>
          <w:rFonts w:asciiTheme="majorBidi" w:hAnsiTheme="majorBidi" w:cstheme="majorBidi"/>
          <w:sz w:val="44"/>
          <w:szCs w:val="44"/>
        </w:rPr>
        <w:t>Data  assembly at district, state or province level.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c. </w:t>
      </w:r>
      <w:r w:rsidRPr="00B63A71">
        <w:rPr>
          <w:rFonts w:asciiTheme="majorBidi" w:hAnsiTheme="majorBidi" w:cstheme="majorBidi"/>
          <w:sz w:val="44"/>
          <w:szCs w:val="44"/>
        </w:rPr>
        <w:t>Aggregation of information under national systems.</w:t>
      </w:r>
    </w:p>
    <w:p w:rsidR="00B63A71" w:rsidRPr="00B63A71" w:rsidRDefault="00B63A71" w:rsidP="00B63A71">
      <w:pPr>
        <w:tabs>
          <w:tab w:val="left" w:pos="0"/>
          <w:tab w:val="left" w:pos="990"/>
          <w:tab w:val="left" w:pos="1440"/>
        </w:tabs>
        <w:ind w:left="1080" w:hanging="9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  d. </w:t>
      </w:r>
      <w:r w:rsidRPr="00B63A71">
        <w:rPr>
          <w:rFonts w:asciiTheme="majorBidi" w:hAnsiTheme="majorBidi" w:cstheme="majorBidi"/>
          <w:sz w:val="44"/>
          <w:szCs w:val="44"/>
        </w:rPr>
        <w:t>For certain diseases, reporting is made by the national health authority to the WHO.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     e. Each physician is made responsible of reporting.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3-   In  reporting of cases all of the following should be determined Except:</w:t>
      </w: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</w:p>
    <w:p w:rsidR="00000000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What diseases are to be reported, as a routine and </w:t>
      </w: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B63A71">
        <w:rPr>
          <w:rFonts w:asciiTheme="majorBidi" w:hAnsiTheme="majorBidi" w:cstheme="majorBidi"/>
          <w:sz w:val="44"/>
          <w:szCs w:val="44"/>
        </w:rPr>
        <w:t>regular procedure.</w:t>
      </w:r>
    </w:p>
    <w:p w:rsidR="00000000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Who is responsible for reporting.</w:t>
      </w:r>
    </w:p>
    <w:p w:rsidR="00000000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lastRenderedPageBreak/>
        <w:t>Nature of report required.</w:t>
      </w:r>
    </w:p>
    <w:p w:rsidR="00000000" w:rsidRP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Manner in which reports are forwarded to the next superior authority .</w:t>
      </w:r>
    </w:p>
    <w:p w:rsidR="00B63A71" w:rsidRDefault="00B63A71" w:rsidP="00B63A71">
      <w:pPr>
        <w:numPr>
          <w:ilvl w:val="1"/>
          <w:numId w:val="1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Mode  of transmission of the disease.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440"/>
        <w:jc w:val="left"/>
        <w:rPr>
          <w:rFonts w:asciiTheme="majorBidi" w:hAnsiTheme="majorBidi" w:cstheme="majorBidi"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4-  One of the following is not included under Class I of </w:t>
      </w:r>
      <w:proofErr w:type="spellStart"/>
      <w:r w:rsidRPr="00B63A71">
        <w:rPr>
          <w:rFonts w:asciiTheme="majorBidi" w:hAnsiTheme="majorBidi" w:cstheme="majorBidi"/>
          <w:b/>
          <w:bCs/>
          <w:sz w:val="44"/>
          <w:szCs w:val="44"/>
        </w:rPr>
        <w:t>notifiable</w:t>
      </w:r>
      <w:proofErr w:type="spell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diseases in  KSA: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000000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</w:t>
      </w:r>
      <w:proofErr w:type="spellStart"/>
      <w:r w:rsidRPr="00B63A71">
        <w:rPr>
          <w:rFonts w:asciiTheme="majorBidi" w:hAnsiTheme="majorBidi" w:cstheme="majorBidi"/>
          <w:sz w:val="44"/>
          <w:szCs w:val="44"/>
        </w:rPr>
        <w:t>quarantinable</w:t>
      </w:r>
      <w:proofErr w:type="spellEnd"/>
      <w:r w:rsidRPr="00B63A71">
        <w:rPr>
          <w:rFonts w:asciiTheme="majorBidi" w:hAnsiTheme="majorBidi" w:cstheme="majorBidi"/>
          <w:sz w:val="44"/>
          <w:szCs w:val="44"/>
        </w:rPr>
        <w:t xml:space="preserve"> diseases.</w:t>
      </w:r>
    </w:p>
    <w:p w:rsidR="00000000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Diseases under surveillance.</w:t>
      </w:r>
    </w:p>
    <w:p w:rsidR="00000000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Newly emerging hemorrhagic fever illnesses.</w:t>
      </w:r>
    </w:p>
    <w:p w:rsidR="00000000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Neonatal tetanus.</w:t>
      </w:r>
    </w:p>
    <w:p w:rsidR="00000000" w:rsidRPr="00B63A71" w:rsidRDefault="00B63A71" w:rsidP="00B63A71">
      <w:pPr>
        <w:numPr>
          <w:ilvl w:val="0"/>
          <w:numId w:val="2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Paralytic </w:t>
      </w:r>
      <w:proofErr w:type="spellStart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ilieus</w:t>
      </w:r>
      <w:proofErr w:type="spellEnd"/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720"/>
        <w:jc w:val="left"/>
        <w:rPr>
          <w:rFonts w:asciiTheme="majorBidi" w:hAnsiTheme="majorBidi" w:cstheme="majorBidi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 5- Diseases  subject to  immediate  notification include all except: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000000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proofErr w:type="spellStart"/>
      <w:r w:rsidRPr="00B63A71">
        <w:rPr>
          <w:rFonts w:asciiTheme="majorBidi" w:hAnsiTheme="majorBidi" w:cstheme="majorBidi"/>
          <w:sz w:val="44"/>
          <w:szCs w:val="44"/>
        </w:rPr>
        <w:t>Gullian</w:t>
      </w:r>
      <w:proofErr w:type="spellEnd"/>
      <w:r w:rsidRPr="00B63A71">
        <w:rPr>
          <w:rFonts w:asciiTheme="majorBidi" w:hAnsiTheme="majorBidi" w:cstheme="majorBidi"/>
          <w:sz w:val="44"/>
          <w:szCs w:val="44"/>
        </w:rPr>
        <w:t xml:space="preserve"> Barrie Syndrome. </w:t>
      </w:r>
    </w:p>
    <w:p w:rsidR="00000000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Transverse   </w:t>
      </w:r>
      <w:proofErr w:type="spellStart"/>
      <w:r w:rsidRPr="00B63A71">
        <w:rPr>
          <w:rFonts w:asciiTheme="majorBidi" w:hAnsiTheme="majorBidi" w:cstheme="majorBidi"/>
          <w:sz w:val="44"/>
          <w:szCs w:val="44"/>
        </w:rPr>
        <w:t>myelitis</w:t>
      </w:r>
      <w:proofErr w:type="spellEnd"/>
      <w:r w:rsidRPr="00B63A71">
        <w:rPr>
          <w:rFonts w:asciiTheme="majorBidi" w:hAnsiTheme="majorBidi" w:cstheme="majorBidi"/>
          <w:sz w:val="44"/>
          <w:szCs w:val="44"/>
        </w:rPr>
        <w:t>.</w:t>
      </w:r>
    </w:p>
    <w:p w:rsidR="00000000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Pneumococcal Meningitis.</w:t>
      </w:r>
    </w:p>
    <w:p w:rsidR="00000000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Pl ague.</w:t>
      </w:r>
    </w:p>
    <w:p w:rsidR="00000000" w:rsidRPr="00B63A71" w:rsidRDefault="00B63A71" w:rsidP="00B63A71">
      <w:pPr>
        <w:numPr>
          <w:ilvl w:val="0"/>
          <w:numId w:val="3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Malaria.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6- Which of the following is not true about  class II </w:t>
      </w:r>
      <w:proofErr w:type="spellStart"/>
      <w:r w:rsidRPr="00B63A71">
        <w:rPr>
          <w:rFonts w:asciiTheme="majorBidi" w:hAnsiTheme="majorBidi" w:cstheme="majorBidi"/>
          <w:b/>
          <w:bCs/>
          <w:sz w:val="44"/>
          <w:szCs w:val="44"/>
        </w:rPr>
        <w:t>notifiable</w:t>
      </w:r>
      <w:proofErr w:type="spellEnd"/>
      <w:r w:rsidRPr="00B63A71">
        <w:rPr>
          <w:rFonts w:asciiTheme="majorBidi" w:hAnsiTheme="majorBidi" w:cstheme="majorBidi"/>
          <w:b/>
          <w:bCs/>
          <w:sz w:val="44"/>
          <w:szCs w:val="44"/>
        </w:rPr>
        <w:t xml:space="preserve"> diseases in KSA: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000000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It includes  23 communicable diseases .</w:t>
      </w:r>
    </w:p>
    <w:p w:rsidR="00000000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Diseases are closely  rela</w:t>
      </w:r>
      <w:r w:rsidRPr="00B63A71">
        <w:rPr>
          <w:rFonts w:asciiTheme="majorBidi" w:hAnsiTheme="majorBidi" w:cstheme="majorBidi"/>
          <w:sz w:val="44"/>
          <w:szCs w:val="44"/>
        </w:rPr>
        <w:t>ted to environmental health.</w:t>
      </w:r>
    </w:p>
    <w:p w:rsidR="00000000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Diseases should be reported weekly  to regional health affair directorate .</w:t>
      </w:r>
    </w:p>
    <w:p w:rsidR="00000000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Sexually transmitted diseases belong to this class.</w:t>
      </w:r>
    </w:p>
    <w:p w:rsidR="00000000" w:rsidRPr="00B63A71" w:rsidRDefault="00B63A71" w:rsidP="00B63A71">
      <w:pPr>
        <w:numPr>
          <w:ilvl w:val="0"/>
          <w:numId w:val="4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Poliomyelitis  is a disease to be reported under class II.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color w:val="FF0000"/>
          <w:sz w:val="44"/>
          <w:szCs w:val="44"/>
        </w:rPr>
        <w:t xml:space="preserve">   </w:t>
      </w:r>
    </w:p>
    <w:p w:rsid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sz w:val="44"/>
          <w:szCs w:val="44"/>
        </w:rPr>
        <w:t>7-   The following are true  about death certificates in KSA Except: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000000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The  given  </w:t>
      </w:r>
      <w:r w:rsidRPr="00B63A71">
        <w:rPr>
          <w:rFonts w:asciiTheme="majorBidi" w:hAnsiTheme="majorBidi" w:cstheme="majorBidi"/>
          <w:sz w:val="44"/>
          <w:szCs w:val="44"/>
        </w:rPr>
        <w:t>causes of death are often vague and unreliable.</w:t>
      </w:r>
    </w:p>
    <w:p w:rsidR="00000000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Under-registration  (of death) is considerable.</w:t>
      </w:r>
    </w:p>
    <w:p w:rsidR="00000000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B63A71">
        <w:rPr>
          <w:rFonts w:asciiTheme="majorBidi" w:hAnsiTheme="majorBidi" w:cstheme="majorBidi"/>
          <w:b/>
          <w:bCs/>
          <w:color w:val="FF0000"/>
          <w:sz w:val="44"/>
          <w:szCs w:val="44"/>
        </w:rPr>
        <w:t>The exact cause of death can only be reached with an autopsy.</w:t>
      </w:r>
    </w:p>
    <w:p w:rsidR="00000000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 xml:space="preserve"> An autopsy may be refused by relatives of the deceased.</w:t>
      </w:r>
    </w:p>
    <w:p w:rsidR="00000000" w:rsidRPr="00B63A71" w:rsidRDefault="00B63A71" w:rsidP="00B63A71">
      <w:pPr>
        <w:numPr>
          <w:ilvl w:val="0"/>
          <w:numId w:val="5"/>
        </w:numPr>
        <w:tabs>
          <w:tab w:val="left" w:pos="0"/>
          <w:tab w:val="left" w:pos="180"/>
          <w:tab w:val="left" w:pos="270"/>
        </w:tabs>
        <w:jc w:val="left"/>
        <w:rPr>
          <w:rFonts w:asciiTheme="majorBidi" w:hAnsiTheme="majorBidi" w:cstheme="majorBidi"/>
          <w:sz w:val="44"/>
          <w:szCs w:val="44"/>
        </w:rPr>
      </w:pPr>
      <w:r w:rsidRPr="00B63A71">
        <w:rPr>
          <w:rFonts w:asciiTheme="majorBidi" w:hAnsiTheme="majorBidi" w:cstheme="majorBidi"/>
          <w:sz w:val="44"/>
          <w:szCs w:val="44"/>
        </w:rPr>
        <w:t>The underlying causes of death s</w:t>
      </w:r>
      <w:r w:rsidRPr="00B63A71">
        <w:rPr>
          <w:rFonts w:asciiTheme="majorBidi" w:hAnsiTheme="majorBidi" w:cstheme="majorBidi"/>
          <w:sz w:val="44"/>
          <w:szCs w:val="44"/>
        </w:rPr>
        <w:t>hould  be assigned to its proper category in the ICD.</w:t>
      </w:r>
    </w:p>
    <w:p w:rsidR="00B63A71" w:rsidRPr="00B63A71" w:rsidRDefault="00B63A71" w:rsidP="00B63A71">
      <w:pPr>
        <w:tabs>
          <w:tab w:val="left" w:pos="0"/>
          <w:tab w:val="left" w:pos="180"/>
          <w:tab w:val="left" w:pos="270"/>
        </w:tabs>
        <w:ind w:left="9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E16AB9" w:rsidRPr="00B63A71" w:rsidRDefault="00E16AB9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sectPr w:rsidR="00E16AB9" w:rsidRPr="00B63A71" w:rsidSect="00B63A71">
      <w:pgSz w:w="12240" w:h="15840"/>
      <w:pgMar w:top="900" w:right="630" w:bottom="90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044"/>
    <w:multiLevelType w:val="hybridMultilevel"/>
    <w:tmpl w:val="CC5A248E"/>
    <w:lvl w:ilvl="0" w:tplc="B264372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08C6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88F7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82906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EF29D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E25DB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0260EB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3AAA1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B8AC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84647"/>
    <w:multiLevelType w:val="hybridMultilevel"/>
    <w:tmpl w:val="DB1AEEDA"/>
    <w:lvl w:ilvl="0" w:tplc="B5A62CD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E601F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74410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2D201C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52E2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44A6D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E690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DB47B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7074A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1761C"/>
    <w:multiLevelType w:val="hybridMultilevel"/>
    <w:tmpl w:val="C234F4F2"/>
    <w:lvl w:ilvl="0" w:tplc="98104D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4EC65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C58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D5C5C1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438DA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8E8A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28C7C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78A0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701FA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C6006A"/>
    <w:multiLevelType w:val="hybridMultilevel"/>
    <w:tmpl w:val="3D20644E"/>
    <w:lvl w:ilvl="0" w:tplc="915C1E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3A8C8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EED33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97419C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0EEDB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987F2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10AE02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BF05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E6C66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323E7"/>
    <w:multiLevelType w:val="hybridMultilevel"/>
    <w:tmpl w:val="2FF68074"/>
    <w:lvl w:ilvl="0" w:tplc="628AE2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3C0C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CC7D2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94E67B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40A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0ADBF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1A8D62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026E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9C9CA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914D64"/>
    <w:rsid w:val="00077B31"/>
    <w:rsid w:val="006D7DF6"/>
    <w:rsid w:val="007B5412"/>
    <w:rsid w:val="0082159D"/>
    <w:rsid w:val="00914D64"/>
    <w:rsid w:val="00924CE8"/>
    <w:rsid w:val="00926F69"/>
    <w:rsid w:val="00AC3594"/>
    <w:rsid w:val="00B12412"/>
    <w:rsid w:val="00B564DB"/>
    <w:rsid w:val="00B63A71"/>
    <w:rsid w:val="00B86D7F"/>
    <w:rsid w:val="00CE7830"/>
    <w:rsid w:val="00D77847"/>
    <w:rsid w:val="00E16AB9"/>
    <w:rsid w:val="00EE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27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90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87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081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63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6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78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5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66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04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2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9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86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32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39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1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932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3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65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02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19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9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5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1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0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5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46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79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4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4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88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63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4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7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56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57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54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0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56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4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87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24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24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82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4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83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6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58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5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95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69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4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2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1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1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6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59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03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6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0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99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4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4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1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7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00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9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500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79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Mahwish Shaukat Khan</dc:creator>
  <cp:keywords/>
  <dc:description/>
  <cp:lastModifiedBy>Mahwish Shaukat Khan</cp:lastModifiedBy>
  <cp:revision>7</cp:revision>
  <dcterms:created xsi:type="dcterms:W3CDTF">2013-06-30T09:46:00Z</dcterms:created>
  <dcterms:modified xsi:type="dcterms:W3CDTF">2013-06-30T10:03:00Z</dcterms:modified>
</cp:coreProperties>
</file>