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AEB" w:rsidRDefault="003A4DE0" w:rsidP="00E51AEB">
      <w:pPr>
        <w:pStyle w:val="Heading1"/>
        <w:rPr>
          <w:rFonts w:ascii="Times New Roman" w:hAnsi="Times New Roman" w:cs="Times New Roman"/>
          <w:bCs w:val="0"/>
          <w:sz w:val="28"/>
          <w:szCs w:val="28"/>
        </w:rPr>
      </w:pPr>
      <w:r>
        <w:rPr>
          <w:rFonts w:ascii="Times New Roman" w:hAnsi="Times New Roman" w:cs="Times New Roman"/>
          <w:bCs w:val="0"/>
          <w:sz w:val="28"/>
          <w:szCs w:val="28"/>
        </w:rPr>
        <w:t>King Saud</w:t>
      </w:r>
      <w:r w:rsidR="00E51AEB">
        <w:rPr>
          <w:rFonts w:ascii="Times New Roman" w:hAnsi="Times New Roman" w:cs="Times New Roman"/>
          <w:bCs w:val="0"/>
          <w:sz w:val="28"/>
          <w:szCs w:val="28"/>
        </w:rPr>
        <w:t xml:space="preserve"> UNIVERSITY</w:t>
      </w:r>
    </w:p>
    <w:p w:rsidR="00E51AEB" w:rsidRDefault="00E51AEB" w:rsidP="00E51AEB">
      <w:pPr>
        <w:pStyle w:val="Heading2"/>
        <w:rPr>
          <w:rFonts w:ascii="Times New Roman" w:hAnsi="Times New Roman" w:cs="Times New Roman"/>
          <w:sz w:val="28"/>
          <w:szCs w:val="28"/>
        </w:rPr>
      </w:pPr>
      <w:smartTag w:uri="urn:schemas-microsoft-com:office:smarttags" w:element="place">
        <w:smartTag w:uri="urn:schemas-microsoft-com:office:smarttags" w:element="PlaceType">
          <w:r>
            <w:rPr>
              <w:rFonts w:ascii="Times New Roman" w:hAnsi="Times New Roman" w:cs="Times New Roman"/>
              <w:sz w:val="28"/>
              <w:szCs w:val="28"/>
            </w:rPr>
            <w:t>College</w:t>
          </w:r>
        </w:smartTag>
        <w:r>
          <w:rPr>
            <w:rFonts w:ascii="Times New Roman" w:hAnsi="Times New Roman" w:cs="Times New Roman"/>
            <w:sz w:val="28"/>
            <w:szCs w:val="28"/>
          </w:rPr>
          <w:t xml:space="preserve"> of </w:t>
        </w:r>
        <w:smartTag w:uri="urn:schemas-microsoft-com:office:smarttags" w:element="PlaceName">
          <w:r>
            <w:rPr>
              <w:rFonts w:ascii="Times New Roman" w:hAnsi="Times New Roman" w:cs="Times New Roman"/>
              <w:sz w:val="28"/>
              <w:szCs w:val="28"/>
            </w:rPr>
            <w:t>Business Administration</w:t>
          </w:r>
        </w:smartTag>
      </w:smartTag>
    </w:p>
    <w:p w:rsidR="00E51AEB" w:rsidRDefault="00E51AEB" w:rsidP="00E51AEB">
      <w:pPr>
        <w:jc w:val="center"/>
        <w:rPr>
          <w:b/>
        </w:rPr>
      </w:pPr>
      <w:r>
        <w:rPr>
          <w:b/>
        </w:rPr>
        <w:t>Semester I</w:t>
      </w:r>
      <w:r w:rsidR="00EF7873">
        <w:rPr>
          <w:b/>
        </w:rPr>
        <w:t>I</w:t>
      </w:r>
      <w:r>
        <w:rPr>
          <w:b/>
        </w:rPr>
        <w:t xml:space="preserve"> 2011/2012</w:t>
      </w:r>
    </w:p>
    <w:p w:rsidR="00E51AEB" w:rsidRDefault="00E51AEB" w:rsidP="0001749E">
      <w:pPr>
        <w:rPr>
          <w:b/>
        </w:rPr>
      </w:pPr>
      <w:r>
        <w:rPr>
          <w:b/>
        </w:rPr>
        <w:t xml:space="preserve">Course Code </w:t>
      </w:r>
      <w:r>
        <w:rPr>
          <w:b/>
        </w:rPr>
        <w:tab/>
        <w:t xml:space="preserve">:  FIN </w:t>
      </w:r>
      <w:r w:rsidR="003A4DE0">
        <w:rPr>
          <w:b/>
        </w:rPr>
        <w:t>2</w:t>
      </w:r>
      <w:r w:rsidR="0001749E">
        <w:rPr>
          <w:b/>
        </w:rPr>
        <w:t>30</w:t>
      </w:r>
      <w:r>
        <w:rPr>
          <w:b/>
        </w:rPr>
        <w:t xml:space="preserve">                                      </w:t>
      </w:r>
      <w:r w:rsidRPr="00E51AEB">
        <w:rPr>
          <w:b/>
        </w:rPr>
        <w:t>Credit Hours:       3</w:t>
      </w:r>
      <w:r w:rsidRPr="00E51AEB">
        <w:rPr>
          <w:b/>
        </w:rPr>
        <w:tab/>
      </w:r>
    </w:p>
    <w:p w:rsidR="00E51AEB" w:rsidRDefault="00E51AEB" w:rsidP="003A4DE0">
      <w:pPr>
        <w:rPr>
          <w:b/>
        </w:rPr>
      </w:pPr>
      <w:r>
        <w:rPr>
          <w:b/>
        </w:rPr>
        <w:t xml:space="preserve">Course Title:  </w:t>
      </w:r>
      <w:r w:rsidR="008018DA">
        <w:rPr>
          <w:b/>
        </w:rPr>
        <w:t>Financial</w:t>
      </w:r>
      <w:r w:rsidRPr="00E51AEB">
        <w:rPr>
          <w:b/>
        </w:rPr>
        <w:t xml:space="preserve"> </w:t>
      </w:r>
      <w:r w:rsidR="003A4DE0">
        <w:rPr>
          <w:b/>
        </w:rPr>
        <w:t xml:space="preserve">markets and </w:t>
      </w:r>
      <w:r w:rsidRPr="00E51AEB">
        <w:rPr>
          <w:b/>
        </w:rPr>
        <w:t>Institutions</w:t>
      </w:r>
      <w:r>
        <w:rPr>
          <w:b/>
        </w:rPr>
        <w:t xml:space="preserve">     </w:t>
      </w:r>
      <w:r>
        <w:rPr>
          <w:b/>
        </w:rPr>
        <w:tab/>
      </w:r>
    </w:p>
    <w:p w:rsidR="00E51AEB" w:rsidRDefault="00E51AEB" w:rsidP="003A4DE0">
      <w:pPr>
        <w:rPr>
          <w:b/>
        </w:rPr>
      </w:pPr>
      <w:r>
        <w:rPr>
          <w:b/>
        </w:rPr>
        <w:t xml:space="preserve">Pre-requisite </w:t>
      </w:r>
      <w:r>
        <w:rPr>
          <w:b/>
        </w:rPr>
        <w:tab/>
        <w:t>: FIN</w:t>
      </w:r>
      <w:r w:rsidR="003A4DE0">
        <w:rPr>
          <w:b/>
        </w:rPr>
        <w:t xml:space="preserve"> 200    </w:t>
      </w:r>
      <w:r>
        <w:rPr>
          <w:b/>
        </w:rPr>
        <w:t xml:space="preserve">                               Instructor: </w:t>
      </w:r>
      <w:proofErr w:type="spellStart"/>
      <w:r>
        <w:rPr>
          <w:b/>
        </w:rPr>
        <w:t>Ms.Ghadah</w:t>
      </w:r>
      <w:proofErr w:type="spellEnd"/>
      <w:r>
        <w:rPr>
          <w:b/>
        </w:rPr>
        <w:t xml:space="preserve"> </w:t>
      </w:r>
      <w:proofErr w:type="spellStart"/>
      <w:r>
        <w:rPr>
          <w:b/>
        </w:rPr>
        <w:t>Alarifi</w:t>
      </w:r>
      <w:proofErr w:type="spellEnd"/>
      <w:r>
        <w:rPr>
          <w:b/>
        </w:rPr>
        <w:t xml:space="preserve">  </w:t>
      </w:r>
    </w:p>
    <w:p w:rsidR="00E51AEB" w:rsidRDefault="00E51AEB" w:rsidP="003A4DE0">
      <w:pPr>
        <w:jc w:val="both"/>
        <w:rPr>
          <w:b/>
          <w:lang w:val="pt-BR"/>
        </w:rPr>
      </w:pPr>
      <w:r>
        <w:rPr>
          <w:b/>
          <w:lang w:val="pt-BR"/>
        </w:rPr>
        <w:t>Office</w:t>
      </w:r>
      <w:r>
        <w:rPr>
          <w:b/>
          <w:lang w:val="pt-BR"/>
        </w:rPr>
        <w:tab/>
      </w:r>
      <w:r>
        <w:rPr>
          <w:b/>
          <w:lang w:val="pt-BR"/>
        </w:rPr>
        <w:tab/>
        <w:t xml:space="preserve">:  </w:t>
      </w:r>
      <w:r w:rsidR="003A4DE0">
        <w:rPr>
          <w:b/>
          <w:lang w:val="pt-BR"/>
        </w:rPr>
        <w:t>B16</w:t>
      </w:r>
      <w:r w:rsidR="00EF7873">
        <w:rPr>
          <w:b/>
          <w:lang w:val="pt-BR"/>
        </w:rPr>
        <w:t xml:space="preserve">  # 50                        </w:t>
      </w:r>
      <w:r>
        <w:rPr>
          <w:b/>
          <w:lang w:val="pt-BR"/>
        </w:rPr>
        <w:t xml:space="preserve">    E-mail : </w:t>
      </w:r>
      <w:r w:rsidR="001F30CC">
        <w:rPr>
          <w:b/>
          <w:lang w:val="pt-BR"/>
        </w:rPr>
        <w:fldChar w:fldCharType="begin"/>
      </w:r>
      <w:r w:rsidR="00EF7873">
        <w:rPr>
          <w:b/>
          <w:lang w:val="pt-BR"/>
        </w:rPr>
        <w:instrText xml:space="preserve"> HYPERLINK "mailto:</w:instrText>
      </w:r>
      <w:r w:rsidR="00EF7873" w:rsidRPr="00EF7873">
        <w:rPr>
          <w:b/>
          <w:lang w:val="pt-BR"/>
        </w:rPr>
        <w:instrText>Ghalarifi@ksu.edu.sa</w:instrText>
      </w:r>
      <w:r w:rsidR="00EF7873">
        <w:rPr>
          <w:b/>
          <w:lang w:val="pt-BR"/>
        </w:rPr>
        <w:instrText xml:space="preserve">" </w:instrText>
      </w:r>
      <w:r w:rsidR="001F30CC">
        <w:rPr>
          <w:b/>
          <w:lang w:val="pt-BR"/>
        </w:rPr>
        <w:fldChar w:fldCharType="separate"/>
      </w:r>
      <w:r w:rsidR="00EF7873" w:rsidRPr="0045056E">
        <w:rPr>
          <w:rStyle w:val="Hyperlink"/>
          <w:b/>
          <w:lang w:val="pt-BR"/>
        </w:rPr>
        <w:t>Ghalarifi@ksu.edu.sa</w:t>
      </w:r>
      <w:r w:rsidR="001F30CC">
        <w:rPr>
          <w:b/>
          <w:lang w:val="pt-BR"/>
        </w:rPr>
        <w:fldChar w:fldCharType="end"/>
      </w:r>
    </w:p>
    <w:p w:rsidR="00EF7873" w:rsidRDefault="00EF7873" w:rsidP="003A4DE0">
      <w:pPr>
        <w:jc w:val="both"/>
        <w:rPr>
          <w:b/>
          <w:lang w:val="pt-BR"/>
        </w:rPr>
      </w:pPr>
      <w:r>
        <w:rPr>
          <w:b/>
          <w:lang w:val="pt-BR"/>
        </w:rPr>
        <w:t xml:space="preserve">Website :   </w:t>
      </w:r>
      <w:r w:rsidRPr="00EF7873">
        <w:rPr>
          <w:b/>
          <w:lang w:val="pt-BR"/>
        </w:rPr>
        <w:t>http://fac.ksu.edu.sa/ghalarifi/home</w:t>
      </w:r>
    </w:p>
    <w:p w:rsidR="00E51AEB" w:rsidRDefault="00E51AEB" w:rsidP="00E51AEB">
      <w:pPr>
        <w:jc w:val="both"/>
        <w:rPr>
          <w:b/>
          <w:lang w:val="pt-BR"/>
        </w:rPr>
      </w:pPr>
    </w:p>
    <w:p w:rsidR="00E51AEB" w:rsidRDefault="00E51AEB" w:rsidP="00E51AEB">
      <w:pPr>
        <w:pBdr>
          <w:top w:val="single" w:sz="4" w:space="1" w:color="auto"/>
        </w:pBdr>
        <w:rPr>
          <w:b/>
          <w:bCs/>
        </w:rPr>
      </w:pPr>
      <w:r>
        <w:rPr>
          <w:b/>
          <w:bCs/>
        </w:rPr>
        <w:t>I.       Course Description</w:t>
      </w:r>
    </w:p>
    <w:p w:rsidR="00E51AEB" w:rsidRDefault="00E51AEB" w:rsidP="00E51AEB">
      <w:pPr>
        <w:pStyle w:val="NormalWeb"/>
        <w:spacing w:before="120" w:beforeAutospacing="0" w:after="0" w:afterAutospacing="0"/>
        <w:jc w:val="both"/>
        <w:rPr>
          <w:rFonts w:ascii="Verdana" w:hAnsi="Verdana"/>
          <w:sz w:val="20"/>
        </w:rPr>
      </w:pPr>
      <w:r w:rsidRPr="004949B5">
        <w:rPr>
          <w:rFonts w:ascii="Arial" w:hAnsi="Arial" w:cs="Arial"/>
          <w:sz w:val="22"/>
        </w:rPr>
        <w:t xml:space="preserve">The study of financial markets and institutions is one of the most important areas for </w:t>
      </w:r>
      <w:r>
        <w:rPr>
          <w:rFonts w:ascii="Arial" w:hAnsi="Arial" w:cs="Arial"/>
          <w:sz w:val="22"/>
        </w:rPr>
        <w:t xml:space="preserve">finance and </w:t>
      </w:r>
      <w:r w:rsidRPr="004949B5">
        <w:rPr>
          <w:rFonts w:ascii="Arial" w:hAnsi="Arial" w:cs="Arial"/>
          <w:sz w:val="22"/>
        </w:rPr>
        <w:t>business students. One can easily recognize the importance of the subject by reviewing the financial services in his daily life: checking accounts, credit cards, life, auto, home insurance policies, pension plans and shares in mutual funds. All these services are supplied and facilitated by a variety of financial institutions. The course has been designed to enable the students to understand the existing financial markets, instruments and institutions. In addition, it is also expected to expose them to the current developments taking place in financial markets.</w:t>
      </w:r>
      <w:r>
        <w:rPr>
          <w:rFonts w:ascii="Verdana" w:hAnsi="Verdana"/>
          <w:sz w:val="20"/>
        </w:rPr>
        <w:t xml:space="preserve"> </w:t>
      </w:r>
    </w:p>
    <w:p w:rsidR="00E51AEB" w:rsidRDefault="00E51AEB" w:rsidP="00E51AEB">
      <w:pPr>
        <w:spacing w:before="120"/>
        <w:rPr>
          <w:rFonts w:ascii="Arial" w:hAnsi="Arial" w:cs="Arial"/>
          <w:sz w:val="22"/>
        </w:rPr>
      </w:pPr>
      <w:r w:rsidRPr="00E968BC">
        <w:rPr>
          <w:rFonts w:ascii="Arial" w:hAnsi="Arial" w:cs="Arial"/>
          <w:b/>
          <w:bCs/>
        </w:rPr>
        <w:t>II.   Course Objectives:</w:t>
      </w:r>
      <w:r w:rsidRPr="00064D41">
        <w:rPr>
          <w:rFonts w:ascii="Arial" w:hAnsi="Arial" w:cs="Arial"/>
          <w:sz w:val="22"/>
        </w:rPr>
        <w:t xml:space="preserve">  Having read this course, the students are expected to have a better understanding of </w:t>
      </w:r>
      <w:r w:rsidRPr="00B80445">
        <w:rPr>
          <w:rFonts w:ascii="Arial" w:hAnsi="Arial" w:cs="Arial"/>
          <w:sz w:val="22"/>
        </w:rPr>
        <w:t xml:space="preserve">financial markets (e.g., the New York Stock Exchange, </w:t>
      </w:r>
      <w:proofErr w:type="spellStart"/>
      <w:r w:rsidRPr="00B80445">
        <w:rPr>
          <w:rFonts w:ascii="Arial" w:hAnsi="Arial" w:cs="Arial"/>
          <w:sz w:val="22"/>
        </w:rPr>
        <w:t>Nasdaq</w:t>
      </w:r>
      <w:proofErr w:type="spellEnd"/>
      <w:r w:rsidRPr="00B80445">
        <w:rPr>
          <w:rFonts w:ascii="Arial" w:hAnsi="Arial" w:cs="Arial"/>
          <w:sz w:val="22"/>
        </w:rPr>
        <w:t>, the treasury market, the foreign exchange market), financial ins</w:t>
      </w:r>
      <w:r>
        <w:rPr>
          <w:rFonts w:ascii="Arial" w:hAnsi="Arial" w:cs="Arial"/>
          <w:sz w:val="22"/>
        </w:rPr>
        <w:t xml:space="preserve">truments (e.g., stocks, bonds, </w:t>
      </w:r>
      <w:r w:rsidRPr="00B80445">
        <w:rPr>
          <w:rFonts w:ascii="Arial" w:hAnsi="Arial" w:cs="Arial"/>
          <w:sz w:val="22"/>
        </w:rPr>
        <w:t xml:space="preserve">options, futures, swaps) and financial institutions (e.g., commercial </w:t>
      </w:r>
      <w:r>
        <w:rPr>
          <w:rFonts w:ascii="Arial" w:hAnsi="Arial" w:cs="Arial"/>
          <w:sz w:val="22"/>
        </w:rPr>
        <w:t>and investment banks, brokerage houses and</w:t>
      </w:r>
      <w:r w:rsidRPr="00B80445">
        <w:rPr>
          <w:rFonts w:ascii="Arial" w:hAnsi="Arial" w:cs="Arial"/>
          <w:sz w:val="22"/>
        </w:rPr>
        <w:t xml:space="preserve"> mutual funds).</w:t>
      </w:r>
    </w:p>
    <w:tbl>
      <w:tblPr>
        <w:tblW w:w="7977" w:type="dxa"/>
        <w:tblLook w:val="01E0"/>
      </w:tblPr>
      <w:tblGrid>
        <w:gridCol w:w="7977"/>
      </w:tblGrid>
      <w:tr w:rsidR="00A62C0B" w:rsidTr="00EE19D0">
        <w:trPr>
          <w:trHeight w:val="1260"/>
        </w:trPr>
        <w:tc>
          <w:tcPr>
            <w:tcW w:w="7977" w:type="dxa"/>
          </w:tcPr>
          <w:p w:rsidR="00A62C0B" w:rsidRDefault="00A62C0B" w:rsidP="00E0158E">
            <w:pPr>
              <w:jc w:val="both"/>
              <w:rPr>
                <w:rFonts w:ascii="Arial" w:hAnsi="Arial" w:cs="Arial"/>
                <w:b/>
                <w:bCs/>
              </w:rPr>
            </w:pPr>
            <w:r>
              <w:rPr>
                <w:rFonts w:ascii="Arial" w:hAnsi="Arial" w:cs="Arial"/>
                <w:b/>
                <w:bCs/>
                <w:sz w:val="22"/>
                <w:szCs w:val="22"/>
              </w:rPr>
              <w:t xml:space="preserve">Knowledge   </w:t>
            </w:r>
          </w:p>
          <w:p w:rsidR="00A62C0B" w:rsidRDefault="00A62C0B" w:rsidP="00E0158E">
            <w:pPr>
              <w:jc w:val="both"/>
              <w:rPr>
                <w:rFonts w:ascii="Arial" w:hAnsi="Arial" w:cs="Arial"/>
              </w:rPr>
            </w:pPr>
            <w:r>
              <w:rPr>
                <w:rFonts w:ascii="Arial" w:hAnsi="Arial" w:cs="Arial"/>
                <w:sz w:val="22"/>
                <w:szCs w:val="22"/>
              </w:rPr>
              <w:t>Explain theoretical background of various fundamentals of financial markets</w:t>
            </w:r>
            <w:r w:rsidRPr="00E07BC0">
              <w:rPr>
                <w:rFonts w:ascii="Arial" w:hAnsi="Arial" w:cs="Arial"/>
                <w:sz w:val="22"/>
                <w:szCs w:val="22"/>
              </w:rPr>
              <w:t xml:space="preserve">, institutions and the instruments that allow (and restrict) the shifting of cash flows, their timings and the risks involved therein. Also to learn </w:t>
            </w:r>
            <w:r>
              <w:rPr>
                <w:rFonts w:ascii="Arial" w:hAnsi="Arial" w:cs="Arial"/>
                <w:sz w:val="22"/>
                <w:szCs w:val="22"/>
              </w:rPr>
              <w:t xml:space="preserve">about </w:t>
            </w:r>
            <w:r w:rsidRPr="00E07BC0">
              <w:rPr>
                <w:rFonts w:ascii="Arial" w:hAnsi="Arial" w:cs="Arial"/>
                <w:sz w:val="22"/>
                <w:szCs w:val="22"/>
              </w:rPr>
              <w:t>why and how financial markets, institutions and instruments are regulated.</w:t>
            </w:r>
            <w:r>
              <w:rPr>
                <w:rFonts w:ascii="Arial" w:hAnsi="Arial" w:cs="Arial"/>
                <w:sz w:val="22"/>
                <w:szCs w:val="22"/>
              </w:rPr>
              <w:t xml:space="preserve"> </w:t>
            </w:r>
          </w:p>
        </w:tc>
      </w:tr>
      <w:tr w:rsidR="00A62C0B" w:rsidTr="00EE19D0">
        <w:trPr>
          <w:trHeight w:val="978"/>
        </w:trPr>
        <w:tc>
          <w:tcPr>
            <w:tcW w:w="7977" w:type="dxa"/>
          </w:tcPr>
          <w:p w:rsidR="00A62C0B" w:rsidRPr="00A62C0B" w:rsidRDefault="00A62C0B" w:rsidP="00A62C0B">
            <w:pPr>
              <w:pStyle w:val="Heading4"/>
              <w:rPr>
                <w:rFonts w:ascii="Cambria" w:eastAsia="Times New Roman" w:hAnsi="Cambria" w:cs="Times New Roman"/>
                <w:color w:val="auto"/>
              </w:rPr>
            </w:pPr>
            <w:r w:rsidRPr="00A62C0B">
              <w:rPr>
                <w:rFonts w:ascii="Cambria" w:eastAsia="Times New Roman" w:hAnsi="Cambria" w:cs="Times New Roman"/>
                <w:color w:val="auto"/>
              </w:rPr>
              <w:t>Cognitive Skills</w:t>
            </w:r>
            <w:r w:rsidRPr="00A62C0B">
              <w:rPr>
                <w:color w:val="auto"/>
              </w:rPr>
              <w:t xml:space="preserve">: </w:t>
            </w:r>
            <w:r w:rsidRPr="00A62C0B">
              <w:rPr>
                <w:rFonts w:ascii="Arial" w:eastAsia="Times New Roman" w:hAnsi="Arial" w:cs="Arial"/>
                <w:b w:val="0"/>
                <w:bCs w:val="0"/>
                <w:i w:val="0"/>
                <w:iCs w:val="0"/>
                <w:color w:val="auto"/>
                <w:sz w:val="22"/>
                <w:szCs w:val="22"/>
              </w:rPr>
              <w:t xml:space="preserve">To enable the students to have an improved understanding of issues in financial markets and mechanics of financial institutions based on empirical evidence and application of theories to the real life issues. </w:t>
            </w:r>
          </w:p>
        </w:tc>
      </w:tr>
      <w:tr w:rsidR="00A62C0B" w:rsidTr="00EE19D0">
        <w:trPr>
          <w:trHeight w:val="2510"/>
        </w:trPr>
        <w:tc>
          <w:tcPr>
            <w:tcW w:w="7977" w:type="dxa"/>
          </w:tcPr>
          <w:p w:rsidR="00A62C0B" w:rsidRPr="00A62C0B" w:rsidRDefault="00A62C0B" w:rsidP="00A62C0B">
            <w:pPr>
              <w:pStyle w:val="Heading4"/>
              <w:rPr>
                <w:b w:val="0"/>
                <w:bCs w:val="0"/>
                <w:i w:val="0"/>
                <w:iCs w:val="0"/>
                <w:color w:val="auto"/>
              </w:rPr>
            </w:pPr>
            <w:r w:rsidRPr="00A62C0B">
              <w:rPr>
                <w:rFonts w:ascii="Cambria" w:eastAsia="Times New Roman" w:hAnsi="Cambria" w:cs="Times New Roman"/>
                <w:color w:val="auto"/>
              </w:rPr>
              <w:t>Interpersonal Skills &amp; Responsibility</w:t>
            </w:r>
            <w:r w:rsidRPr="00A62C0B">
              <w:rPr>
                <w:color w:val="auto"/>
              </w:rPr>
              <w:t xml:space="preserve">: </w:t>
            </w:r>
            <w:r w:rsidRPr="00A62C0B">
              <w:rPr>
                <w:rFonts w:ascii="Arial" w:eastAsia="Times New Roman" w:hAnsi="Arial" w:cs="Arial"/>
                <w:b w:val="0"/>
                <w:bCs w:val="0"/>
                <w:i w:val="0"/>
                <w:iCs w:val="0"/>
                <w:color w:val="auto"/>
                <w:sz w:val="22"/>
                <w:szCs w:val="22"/>
              </w:rPr>
              <w:t>Recognize the value judgment process and diversity of opinion regarding issues across individuals to develop and strengthen the mind-sets towards mutual understanding, tolerance and ideas sharing. Draw upon the resiliency of human approach and adopt a productive and supportive attitude in solution of problems in financial markets.</w:t>
            </w:r>
          </w:p>
          <w:p w:rsidR="00A62C0B" w:rsidRPr="00EE19D0" w:rsidRDefault="00A62C0B" w:rsidP="00EE19D0">
            <w:pPr>
              <w:jc w:val="both"/>
              <w:rPr>
                <w:rFonts w:ascii="Arial" w:hAnsi="Arial" w:cs="Arial"/>
                <w:b/>
                <w:bCs/>
              </w:rPr>
            </w:pPr>
            <w:r w:rsidRPr="00A62C0B">
              <w:rPr>
                <w:rFonts w:ascii="Arial" w:hAnsi="Arial" w:cs="Arial"/>
                <w:b/>
                <w:bCs/>
                <w:sz w:val="22"/>
                <w:szCs w:val="22"/>
              </w:rPr>
              <w:t xml:space="preserve">Numerical &amp; Communication Skills: </w:t>
            </w:r>
            <w:r w:rsidRPr="00A62C0B">
              <w:rPr>
                <w:rFonts w:ascii="Arial" w:hAnsi="Arial" w:cs="Arial"/>
                <w:sz w:val="22"/>
                <w:szCs w:val="22"/>
              </w:rPr>
              <w:t>Put forward individual opinions and observations about theoretical and contemporary issues in financial markets of the world.</w:t>
            </w:r>
          </w:p>
        </w:tc>
      </w:tr>
    </w:tbl>
    <w:p w:rsidR="00A62C0B" w:rsidRPr="000A65F5" w:rsidRDefault="00A62C0B" w:rsidP="00A62C0B">
      <w:pPr>
        <w:spacing w:before="100" w:beforeAutospacing="1" w:after="100" w:afterAutospacing="1"/>
        <w:rPr>
          <w:b/>
          <w:bCs/>
        </w:rPr>
      </w:pPr>
      <w:r w:rsidRPr="000A65F5">
        <w:rPr>
          <w:b/>
          <w:bCs/>
        </w:rPr>
        <w:t>Instructor Expectations</w:t>
      </w:r>
    </w:p>
    <w:p w:rsidR="00A62C0B" w:rsidRDefault="00A62C0B" w:rsidP="00A62C0B">
      <w:pPr>
        <w:numPr>
          <w:ilvl w:val="0"/>
          <w:numId w:val="1"/>
        </w:numPr>
        <w:spacing w:before="100" w:beforeAutospacing="1" w:after="100" w:afterAutospacing="1"/>
        <w:ind w:left="795"/>
        <w:rPr>
          <w:rFonts w:ascii="Arial" w:hAnsi="Arial" w:cs="Arial"/>
          <w:sz w:val="20"/>
          <w:szCs w:val="20"/>
        </w:rPr>
      </w:pPr>
      <w:r>
        <w:rPr>
          <w:rFonts w:ascii="Arial" w:hAnsi="Arial" w:cs="Arial"/>
          <w:sz w:val="20"/>
          <w:szCs w:val="20"/>
        </w:rPr>
        <w:t>Late assignments are not accepted.</w:t>
      </w:r>
    </w:p>
    <w:p w:rsidR="00A62C0B" w:rsidRPr="000A65F5" w:rsidRDefault="00A62C0B" w:rsidP="00A62C0B">
      <w:pPr>
        <w:numPr>
          <w:ilvl w:val="0"/>
          <w:numId w:val="1"/>
        </w:numPr>
        <w:spacing w:before="100" w:beforeAutospacing="1" w:after="100" w:afterAutospacing="1"/>
        <w:ind w:left="795"/>
        <w:rPr>
          <w:rFonts w:ascii="Arial" w:hAnsi="Arial" w:cs="Arial"/>
          <w:sz w:val="20"/>
          <w:szCs w:val="20"/>
        </w:rPr>
      </w:pPr>
      <w:r>
        <w:rPr>
          <w:rFonts w:ascii="Arial" w:hAnsi="Arial" w:cs="Arial"/>
          <w:sz w:val="20"/>
          <w:szCs w:val="20"/>
        </w:rPr>
        <w:t xml:space="preserve">No makeup Midterms or quizzes are allowed. </w:t>
      </w:r>
    </w:p>
    <w:p w:rsidR="00A62C0B" w:rsidRDefault="00A62C0B" w:rsidP="00A62C0B">
      <w:pPr>
        <w:numPr>
          <w:ilvl w:val="0"/>
          <w:numId w:val="1"/>
        </w:numPr>
        <w:spacing w:before="100" w:beforeAutospacing="1" w:after="100" w:afterAutospacing="1"/>
        <w:ind w:left="795"/>
        <w:rPr>
          <w:rFonts w:ascii="Arial" w:hAnsi="Arial" w:cs="Arial"/>
          <w:sz w:val="20"/>
          <w:szCs w:val="20"/>
        </w:rPr>
      </w:pPr>
      <w:r>
        <w:rPr>
          <w:rFonts w:ascii="Arial" w:hAnsi="Arial"/>
          <w:sz w:val="20"/>
          <w:szCs w:val="20"/>
        </w:rPr>
        <w:t>Finance is a very difficult subject to learn, skipping class is not advised.</w:t>
      </w:r>
    </w:p>
    <w:p w:rsidR="00A62C0B" w:rsidRDefault="00A62C0B" w:rsidP="00A62C0B">
      <w:pPr>
        <w:numPr>
          <w:ilvl w:val="0"/>
          <w:numId w:val="1"/>
        </w:numPr>
        <w:spacing w:before="100" w:beforeAutospacing="1" w:after="100" w:afterAutospacing="1"/>
        <w:ind w:left="795"/>
        <w:rPr>
          <w:rFonts w:ascii="Arial" w:hAnsi="Arial" w:cs="Arial"/>
          <w:sz w:val="20"/>
          <w:szCs w:val="20"/>
        </w:rPr>
      </w:pPr>
      <w:r>
        <w:rPr>
          <w:lang w:val="en-GB"/>
        </w:rPr>
        <w:t>During an exam or a quiz, any cheating student will receive a grade of zero.</w:t>
      </w:r>
    </w:p>
    <w:p w:rsidR="00A62C0B" w:rsidRDefault="00A62C0B" w:rsidP="00A62C0B">
      <w:pPr>
        <w:numPr>
          <w:ilvl w:val="0"/>
          <w:numId w:val="1"/>
        </w:numPr>
        <w:spacing w:before="100" w:beforeAutospacing="1" w:after="100" w:afterAutospacing="1"/>
        <w:ind w:left="795"/>
        <w:rPr>
          <w:rFonts w:ascii="Arial" w:hAnsi="Arial" w:cs="Arial"/>
          <w:sz w:val="20"/>
          <w:szCs w:val="20"/>
        </w:rPr>
      </w:pPr>
      <w:r>
        <w:rPr>
          <w:rFonts w:ascii="Arial" w:hAnsi="Arial"/>
          <w:sz w:val="20"/>
          <w:szCs w:val="20"/>
        </w:rPr>
        <w:t>Cell phones must be turned off during class. No form of texting is allowed.</w:t>
      </w:r>
    </w:p>
    <w:p w:rsidR="00C54765" w:rsidRPr="001A604C" w:rsidRDefault="00EE19D0" w:rsidP="001A604C">
      <w:pPr>
        <w:numPr>
          <w:ilvl w:val="0"/>
          <w:numId w:val="1"/>
        </w:numPr>
        <w:spacing w:before="100" w:beforeAutospacing="1" w:after="100" w:afterAutospacing="1"/>
        <w:ind w:left="795"/>
        <w:rPr>
          <w:rFonts w:ascii="Arial" w:hAnsi="Arial" w:cs="Arial"/>
          <w:sz w:val="20"/>
          <w:szCs w:val="20"/>
        </w:rPr>
      </w:pPr>
      <w:r>
        <w:rPr>
          <w:rFonts w:ascii="Arial" w:hAnsi="Arial" w:cs="Arial"/>
          <w:sz w:val="20"/>
          <w:szCs w:val="20"/>
        </w:rPr>
        <w:t>Any talking or texting in class will lead to a pop quiz.</w:t>
      </w:r>
    </w:p>
    <w:p w:rsidR="00A62C0B" w:rsidRPr="00A62C0B" w:rsidRDefault="00A62C0B" w:rsidP="00A62C0B">
      <w:pPr>
        <w:pStyle w:val="ListParagraph"/>
        <w:spacing w:before="100" w:beforeAutospacing="1" w:after="100" w:afterAutospacing="1"/>
        <w:rPr>
          <w:rFonts w:ascii="Arial" w:hAnsi="Arial" w:cs="Arial"/>
          <w:sz w:val="20"/>
          <w:szCs w:val="20"/>
        </w:rPr>
      </w:pPr>
      <w:proofErr w:type="gramStart"/>
      <w:r>
        <w:rPr>
          <w:b/>
        </w:rPr>
        <w:lastRenderedPageBreak/>
        <w:t>Schedule :</w:t>
      </w:r>
      <w:proofErr w:type="gramEnd"/>
    </w:p>
    <w:tbl>
      <w:tblPr>
        <w:tblW w:w="651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6"/>
        <w:gridCol w:w="3709"/>
        <w:gridCol w:w="1719"/>
      </w:tblGrid>
      <w:tr w:rsidR="00A62C0B" w:rsidTr="00E0158E">
        <w:trPr>
          <w:trHeight w:val="486"/>
        </w:trPr>
        <w:tc>
          <w:tcPr>
            <w:tcW w:w="1086"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62C0B" w:rsidRPr="00CA171B" w:rsidRDefault="00A62C0B" w:rsidP="00E0158E">
            <w:pPr>
              <w:pStyle w:val="Heading4"/>
              <w:rPr>
                <w:rFonts w:ascii="Times New Roman" w:hAnsi="Times New Roman" w:cs="Times New Roman"/>
                <w:i w:val="0"/>
                <w:iCs w:val="0"/>
                <w:color w:val="auto"/>
              </w:rPr>
            </w:pPr>
            <w:r>
              <w:rPr>
                <w:rFonts w:ascii="Times New Roman" w:hAnsi="Times New Roman" w:cs="Times New Roman"/>
                <w:i w:val="0"/>
                <w:iCs w:val="0"/>
                <w:color w:val="auto"/>
              </w:rPr>
              <w:t xml:space="preserve"> </w:t>
            </w:r>
            <w:r w:rsidRPr="00CA171B">
              <w:rPr>
                <w:rFonts w:ascii="Times New Roman" w:hAnsi="Times New Roman" w:cs="Times New Roman"/>
                <w:i w:val="0"/>
                <w:iCs w:val="0"/>
                <w:color w:val="auto"/>
              </w:rPr>
              <w:t>WEEK</w:t>
            </w:r>
          </w:p>
        </w:tc>
        <w:tc>
          <w:tcPr>
            <w:tcW w:w="3709"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62C0B" w:rsidRDefault="00A62C0B" w:rsidP="00E0158E">
            <w:pPr>
              <w:pStyle w:val="Heading2"/>
              <w:rPr>
                <w:rFonts w:ascii="Times New Roman" w:hAnsi="Times New Roman" w:cs="Times New Roman"/>
              </w:rPr>
            </w:pPr>
            <w:r>
              <w:rPr>
                <w:rFonts w:ascii="Times New Roman" w:hAnsi="Times New Roman" w:cs="Times New Roman"/>
              </w:rPr>
              <w:t>TOPIC</w:t>
            </w:r>
          </w:p>
        </w:tc>
        <w:tc>
          <w:tcPr>
            <w:tcW w:w="1719" w:type="dxa"/>
            <w:tcBorders>
              <w:top w:val="single" w:sz="4" w:space="0" w:color="auto"/>
              <w:left w:val="single" w:sz="4" w:space="0" w:color="auto"/>
              <w:bottom w:val="single" w:sz="4" w:space="0" w:color="auto"/>
              <w:right w:val="single" w:sz="4" w:space="0" w:color="auto"/>
            </w:tcBorders>
            <w:shd w:val="pct12" w:color="auto" w:fill="auto"/>
            <w:hideMark/>
          </w:tcPr>
          <w:p w:rsidR="00A62C0B" w:rsidRDefault="00A62C0B" w:rsidP="00E0158E">
            <w:pPr>
              <w:pStyle w:val="Heading2"/>
              <w:rPr>
                <w:rFonts w:ascii="Times New Roman" w:hAnsi="Times New Roman" w:cs="Times New Roman"/>
              </w:rPr>
            </w:pPr>
            <w:r>
              <w:rPr>
                <w:rFonts w:ascii="Times New Roman" w:hAnsi="Times New Roman" w:cs="Times New Roman"/>
              </w:rPr>
              <w:t>CHAPTER(S)</w:t>
            </w:r>
          </w:p>
        </w:tc>
      </w:tr>
      <w:tr w:rsidR="00A62C0B" w:rsidTr="00E0158E">
        <w:trPr>
          <w:trHeight w:val="555"/>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jc w:val="center"/>
              <w:rPr>
                <w:b/>
                <w:bCs/>
                <w:lang w:val="ms-MY"/>
              </w:rPr>
            </w:pPr>
            <w:r>
              <w:rPr>
                <w:b/>
                <w:bCs/>
                <w:lang w:val="ms-MY"/>
              </w:rPr>
              <w:t>1</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Pr="00F9400A" w:rsidRDefault="00F9400A" w:rsidP="00F9400A">
            <w:pPr>
              <w:pStyle w:val="Heading6"/>
              <w:keepLines w:val="0"/>
              <w:spacing w:before="0"/>
              <w:jc w:val="lowKashida"/>
              <w:rPr>
                <w:rFonts w:ascii="Arial" w:hAnsi="Arial" w:cs="Arial"/>
                <w:i w:val="0"/>
                <w:iCs w:val="0"/>
                <w:color w:val="auto"/>
                <w:sz w:val="20"/>
                <w:szCs w:val="20"/>
              </w:rPr>
            </w:pPr>
            <w:r w:rsidRPr="00F9400A">
              <w:rPr>
                <w:rFonts w:ascii="Arial" w:eastAsia="Times New Roman" w:hAnsi="Arial" w:cs="Arial"/>
                <w:i w:val="0"/>
                <w:iCs w:val="0"/>
                <w:noProof/>
                <w:color w:val="auto"/>
                <w:sz w:val="20"/>
                <w:szCs w:val="20"/>
              </w:rPr>
              <w:t>Introduction &amp; Overview</w:t>
            </w:r>
          </w:p>
        </w:tc>
        <w:tc>
          <w:tcPr>
            <w:tcW w:w="1719" w:type="dxa"/>
            <w:tcBorders>
              <w:top w:val="single" w:sz="4" w:space="0" w:color="auto"/>
              <w:left w:val="single" w:sz="4" w:space="0" w:color="auto"/>
              <w:bottom w:val="single" w:sz="4" w:space="0" w:color="auto"/>
              <w:right w:val="single" w:sz="4" w:space="0" w:color="auto"/>
            </w:tcBorders>
          </w:tcPr>
          <w:p w:rsidR="00A62C0B" w:rsidRDefault="00A62C0B" w:rsidP="00E0158E">
            <w:pPr>
              <w:jc w:val="center"/>
            </w:pPr>
          </w:p>
          <w:p w:rsidR="00A62C0B" w:rsidRDefault="00A62C0B" w:rsidP="00E0158E">
            <w:pPr>
              <w:jc w:val="center"/>
            </w:pPr>
            <w:r>
              <w:t>1</w:t>
            </w:r>
          </w:p>
        </w:tc>
      </w:tr>
      <w:tr w:rsidR="00A62C0B" w:rsidTr="00E0158E">
        <w:trPr>
          <w:trHeight w:val="573"/>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jc w:val="center"/>
              <w:rPr>
                <w:b/>
                <w:bCs/>
                <w:lang w:val="ms-MY"/>
              </w:rPr>
            </w:pPr>
            <w:r>
              <w:rPr>
                <w:b/>
                <w:bCs/>
                <w:lang w:val="ms-MY"/>
              </w:rPr>
              <w:t>2</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Pr="00F9400A" w:rsidRDefault="00F9400A" w:rsidP="00E0158E">
            <w:pPr>
              <w:autoSpaceDE w:val="0"/>
              <w:autoSpaceDN w:val="0"/>
              <w:adjustRightInd w:val="0"/>
              <w:ind w:left="108" w:hanging="108"/>
            </w:pPr>
            <w:r w:rsidRPr="00F9400A">
              <w:t>Money Markets</w:t>
            </w:r>
          </w:p>
        </w:tc>
        <w:tc>
          <w:tcPr>
            <w:tcW w:w="1719" w:type="dxa"/>
            <w:tcBorders>
              <w:top w:val="single" w:sz="4" w:space="0" w:color="auto"/>
              <w:left w:val="single" w:sz="4" w:space="0" w:color="auto"/>
              <w:bottom w:val="single" w:sz="4" w:space="0" w:color="auto"/>
              <w:right w:val="single" w:sz="4" w:space="0" w:color="auto"/>
            </w:tcBorders>
            <w:hideMark/>
          </w:tcPr>
          <w:p w:rsidR="00A62C0B" w:rsidRDefault="00F9400A" w:rsidP="00E0158E">
            <w:pPr>
              <w:jc w:val="center"/>
            </w:pPr>
            <w:r>
              <w:t>5</w:t>
            </w:r>
          </w:p>
        </w:tc>
      </w:tr>
      <w:tr w:rsidR="00A62C0B" w:rsidTr="00F9400A">
        <w:trPr>
          <w:trHeight w:val="590"/>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jc w:val="center"/>
              <w:rPr>
                <w:b/>
                <w:bCs/>
                <w:lang w:val="ms-MY"/>
              </w:rPr>
            </w:pPr>
            <w:r>
              <w:rPr>
                <w:b/>
                <w:bCs/>
                <w:lang w:val="ms-MY"/>
              </w:rPr>
              <w:t>3</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Default="00F9400A" w:rsidP="00F9400A">
            <w:pPr>
              <w:autoSpaceDE w:val="0"/>
              <w:autoSpaceDN w:val="0"/>
              <w:adjustRightInd w:val="0"/>
              <w:ind w:left="108" w:hanging="108"/>
            </w:pPr>
            <w:r w:rsidRPr="00F9400A">
              <w:t>Money</w:t>
            </w:r>
            <w:r w:rsidR="004F4AB2">
              <w:t xml:space="preserve"> and Bond </w:t>
            </w:r>
            <w:r w:rsidRPr="00F9400A">
              <w:t xml:space="preserve"> Markets</w:t>
            </w:r>
          </w:p>
          <w:p w:rsidR="004F4AB2" w:rsidRDefault="004F4AB2" w:rsidP="00F9400A">
            <w:pPr>
              <w:autoSpaceDE w:val="0"/>
              <w:autoSpaceDN w:val="0"/>
              <w:adjustRightInd w:val="0"/>
              <w:ind w:left="108" w:hanging="108"/>
            </w:pPr>
          </w:p>
        </w:tc>
        <w:tc>
          <w:tcPr>
            <w:tcW w:w="1719" w:type="dxa"/>
            <w:tcBorders>
              <w:top w:val="single" w:sz="4" w:space="0" w:color="auto"/>
              <w:left w:val="single" w:sz="4" w:space="0" w:color="auto"/>
              <w:bottom w:val="single" w:sz="4" w:space="0" w:color="auto"/>
              <w:right w:val="single" w:sz="4" w:space="0" w:color="auto"/>
            </w:tcBorders>
          </w:tcPr>
          <w:p w:rsidR="00A62C0B" w:rsidRDefault="00F9400A" w:rsidP="00F9400A">
            <w:pPr>
              <w:jc w:val="center"/>
            </w:pPr>
            <w:r>
              <w:t>5</w:t>
            </w:r>
            <w:r w:rsidR="004F4AB2">
              <w:t xml:space="preserve"> &amp;6</w:t>
            </w:r>
          </w:p>
        </w:tc>
      </w:tr>
      <w:tr w:rsidR="00A62C0B" w:rsidTr="00E0158E">
        <w:trPr>
          <w:trHeight w:val="573"/>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jc w:val="center"/>
              <w:rPr>
                <w:b/>
                <w:bCs/>
                <w:lang w:val="ms-MY"/>
              </w:rPr>
            </w:pPr>
            <w:r>
              <w:rPr>
                <w:b/>
                <w:bCs/>
                <w:lang w:val="ms-MY"/>
              </w:rPr>
              <w:t>4</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Pr="00F9400A" w:rsidRDefault="00F9400A" w:rsidP="00E0158E">
            <w:pPr>
              <w:autoSpaceDE w:val="0"/>
              <w:autoSpaceDN w:val="0"/>
              <w:adjustRightInd w:val="0"/>
              <w:ind w:left="108" w:hanging="108"/>
            </w:pPr>
            <w:r w:rsidRPr="00F9400A">
              <w:t>Bond Markets</w:t>
            </w:r>
          </w:p>
        </w:tc>
        <w:tc>
          <w:tcPr>
            <w:tcW w:w="1719" w:type="dxa"/>
            <w:tcBorders>
              <w:top w:val="single" w:sz="4" w:space="0" w:color="auto"/>
              <w:left w:val="single" w:sz="4" w:space="0" w:color="auto"/>
              <w:bottom w:val="single" w:sz="4" w:space="0" w:color="auto"/>
              <w:right w:val="single" w:sz="4" w:space="0" w:color="auto"/>
            </w:tcBorders>
            <w:hideMark/>
          </w:tcPr>
          <w:p w:rsidR="00A62C0B" w:rsidRDefault="00F9400A" w:rsidP="00E0158E">
            <w:pPr>
              <w:jc w:val="center"/>
            </w:pPr>
            <w:r>
              <w:t>6</w:t>
            </w:r>
          </w:p>
        </w:tc>
      </w:tr>
      <w:tr w:rsidR="00A62C0B" w:rsidTr="00E0158E">
        <w:trPr>
          <w:trHeight w:val="573"/>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jc w:val="center"/>
              <w:rPr>
                <w:b/>
                <w:bCs/>
                <w:lang w:val="ms-MY"/>
              </w:rPr>
            </w:pPr>
            <w:r>
              <w:rPr>
                <w:b/>
                <w:bCs/>
                <w:lang w:val="ms-MY"/>
              </w:rPr>
              <w:t xml:space="preserve">5 </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Pr="00F9400A" w:rsidRDefault="004F4AB2" w:rsidP="00E0158E">
            <w:pPr>
              <w:autoSpaceDE w:val="0"/>
              <w:autoSpaceDN w:val="0"/>
              <w:adjustRightInd w:val="0"/>
              <w:ind w:left="108" w:hanging="108"/>
            </w:pPr>
            <w:r w:rsidRPr="00F9400A">
              <w:t>Mortgage Markets</w:t>
            </w:r>
          </w:p>
        </w:tc>
        <w:tc>
          <w:tcPr>
            <w:tcW w:w="1719" w:type="dxa"/>
            <w:tcBorders>
              <w:top w:val="single" w:sz="4" w:space="0" w:color="auto"/>
              <w:left w:val="single" w:sz="4" w:space="0" w:color="auto"/>
              <w:bottom w:val="single" w:sz="4" w:space="0" w:color="auto"/>
              <w:right w:val="single" w:sz="4" w:space="0" w:color="auto"/>
            </w:tcBorders>
            <w:hideMark/>
          </w:tcPr>
          <w:p w:rsidR="00A62C0B" w:rsidRDefault="004F4AB2" w:rsidP="00E0158E">
            <w:pPr>
              <w:jc w:val="center"/>
            </w:pPr>
            <w:r>
              <w:t>7</w:t>
            </w:r>
          </w:p>
        </w:tc>
      </w:tr>
      <w:tr w:rsidR="00A62C0B" w:rsidTr="00F9400A">
        <w:trPr>
          <w:trHeight w:val="516"/>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jc w:val="center"/>
              <w:rPr>
                <w:b/>
                <w:bCs/>
                <w:lang w:val="ms-MY"/>
              </w:rPr>
            </w:pPr>
            <w:r>
              <w:rPr>
                <w:b/>
                <w:bCs/>
                <w:lang w:val="ms-MY"/>
              </w:rPr>
              <w:t>6</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Pr="00F9400A" w:rsidRDefault="004F4AB2" w:rsidP="00E0158E">
            <w:pPr>
              <w:autoSpaceDE w:val="0"/>
              <w:autoSpaceDN w:val="0"/>
              <w:adjustRightInd w:val="0"/>
              <w:ind w:left="108" w:hanging="108"/>
            </w:pPr>
            <w:r w:rsidRPr="00F9400A">
              <w:t>Stock Markets</w:t>
            </w:r>
          </w:p>
        </w:tc>
        <w:tc>
          <w:tcPr>
            <w:tcW w:w="1719" w:type="dxa"/>
            <w:tcBorders>
              <w:top w:val="single" w:sz="4" w:space="0" w:color="auto"/>
              <w:left w:val="single" w:sz="4" w:space="0" w:color="auto"/>
              <w:bottom w:val="single" w:sz="4" w:space="0" w:color="auto"/>
              <w:right w:val="single" w:sz="4" w:space="0" w:color="auto"/>
            </w:tcBorders>
          </w:tcPr>
          <w:p w:rsidR="00A62C0B" w:rsidRDefault="004F4AB2" w:rsidP="00E0158E">
            <w:pPr>
              <w:jc w:val="center"/>
            </w:pPr>
            <w:r>
              <w:t>8</w:t>
            </w:r>
          </w:p>
        </w:tc>
      </w:tr>
      <w:tr w:rsidR="00A62C0B" w:rsidTr="00F9400A">
        <w:trPr>
          <w:trHeight w:val="415"/>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F9400A">
            <w:pPr>
              <w:jc w:val="center"/>
              <w:rPr>
                <w:b/>
                <w:bCs/>
                <w:lang w:val="ms-MY"/>
              </w:rPr>
            </w:pPr>
            <w:r>
              <w:rPr>
                <w:b/>
                <w:bCs/>
                <w:lang w:val="ms-MY"/>
              </w:rPr>
              <w:t>7</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4F4AB2">
            <w:pPr>
              <w:autoSpaceDE w:val="0"/>
              <w:autoSpaceDN w:val="0"/>
              <w:adjustRightInd w:val="0"/>
              <w:ind w:hanging="108"/>
              <w:rPr>
                <w:color w:val="000000"/>
                <w:spacing w:val="1"/>
              </w:rPr>
            </w:pPr>
            <w:r>
              <w:rPr>
                <w:color w:val="000000"/>
                <w:spacing w:val="1"/>
              </w:rPr>
              <w:t xml:space="preserve">  </w:t>
            </w:r>
            <w:r w:rsidR="007A7EA5">
              <w:t xml:space="preserve">Stock + </w:t>
            </w:r>
            <w:r w:rsidR="004F4AB2" w:rsidRPr="00F9400A">
              <w:t>Foreign Exchange Markets</w:t>
            </w:r>
          </w:p>
        </w:tc>
        <w:tc>
          <w:tcPr>
            <w:tcW w:w="1719" w:type="dxa"/>
            <w:tcBorders>
              <w:top w:val="single" w:sz="4" w:space="0" w:color="auto"/>
              <w:left w:val="single" w:sz="4" w:space="0" w:color="auto"/>
              <w:bottom w:val="single" w:sz="4" w:space="0" w:color="auto"/>
              <w:right w:val="single" w:sz="4" w:space="0" w:color="auto"/>
            </w:tcBorders>
            <w:hideMark/>
          </w:tcPr>
          <w:p w:rsidR="00F9400A" w:rsidRDefault="007A7EA5" w:rsidP="00F9400A">
            <w:pPr>
              <w:jc w:val="center"/>
            </w:pPr>
            <w:r>
              <w:t>8&amp;</w:t>
            </w:r>
            <w:r w:rsidR="004F4AB2">
              <w:t>9</w:t>
            </w:r>
          </w:p>
        </w:tc>
      </w:tr>
      <w:tr w:rsidR="00A62C0B" w:rsidTr="00E0158E">
        <w:trPr>
          <w:trHeight w:val="555"/>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jc w:val="center"/>
              <w:rPr>
                <w:b/>
                <w:bCs/>
                <w:lang w:val="ms-MY"/>
              </w:rPr>
            </w:pPr>
            <w:r>
              <w:rPr>
                <w:b/>
                <w:bCs/>
                <w:lang w:val="ms-MY"/>
              </w:rPr>
              <w:t xml:space="preserve">8 </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Pr="00F9400A" w:rsidRDefault="00A62C0B" w:rsidP="007A7EA5">
            <w:pPr>
              <w:autoSpaceDE w:val="0"/>
              <w:autoSpaceDN w:val="0"/>
              <w:adjustRightInd w:val="0"/>
              <w:ind w:hanging="108"/>
              <w:rPr>
                <w:color w:val="000000"/>
                <w:spacing w:val="1"/>
              </w:rPr>
            </w:pPr>
            <w:r>
              <w:rPr>
                <w:color w:val="000000"/>
                <w:spacing w:val="1"/>
              </w:rPr>
              <w:t xml:space="preserve"> </w:t>
            </w:r>
            <w:r w:rsidR="007A7EA5" w:rsidRPr="00F9400A">
              <w:t>Foreign Exchange Markets</w:t>
            </w:r>
          </w:p>
        </w:tc>
        <w:tc>
          <w:tcPr>
            <w:tcW w:w="1719" w:type="dxa"/>
            <w:tcBorders>
              <w:top w:val="single" w:sz="4" w:space="0" w:color="auto"/>
              <w:left w:val="single" w:sz="4" w:space="0" w:color="auto"/>
              <w:bottom w:val="single" w:sz="4" w:space="0" w:color="auto"/>
              <w:right w:val="single" w:sz="4" w:space="0" w:color="auto"/>
            </w:tcBorders>
            <w:hideMark/>
          </w:tcPr>
          <w:p w:rsidR="004F4AB2" w:rsidRDefault="007A7EA5" w:rsidP="007A7EA5">
            <w:pPr>
              <w:jc w:val="center"/>
            </w:pPr>
            <w:r>
              <w:t>9</w:t>
            </w:r>
          </w:p>
          <w:p w:rsidR="007A7EA5" w:rsidRDefault="007A7EA5" w:rsidP="007A7EA5"/>
        </w:tc>
      </w:tr>
      <w:tr w:rsidR="00A62C0B" w:rsidTr="00F9400A">
        <w:trPr>
          <w:trHeight w:val="408"/>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7A7EA5" w:rsidP="00E0158E">
            <w:pPr>
              <w:jc w:val="center"/>
              <w:rPr>
                <w:b/>
                <w:bCs/>
                <w:lang w:val="ms-MY"/>
              </w:rPr>
            </w:pPr>
            <w:r>
              <w:rPr>
                <w:b/>
                <w:bCs/>
                <w:lang w:val="ms-MY"/>
              </w:rPr>
              <w:t>9</w:t>
            </w:r>
          </w:p>
        </w:tc>
        <w:tc>
          <w:tcPr>
            <w:tcW w:w="3709" w:type="dxa"/>
            <w:tcBorders>
              <w:top w:val="single" w:sz="4" w:space="0" w:color="auto"/>
              <w:left w:val="single" w:sz="4" w:space="0" w:color="auto"/>
              <w:bottom w:val="single" w:sz="4" w:space="0" w:color="auto"/>
              <w:right w:val="single" w:sz="4" w:space="0" w:color="auto"/>
            </w:tcBorders>
            <w:vAlign w:val="center"/>
            <w:hideMark/>
          </w:tcPr>
          <w:p w:rsidR="00F9400A" w:rsidRPr="00F9400A" w:rsidRDefault="00A62C0B" w:rsidP="004F4AB2">
            <w:pPr>
              <w:tabs>
                <w:tab w:val="left" w:pos="-720"/>
              </w:tabs>
              <w:suppressAutoHyphens/>
              <w:spacing w:line="240" w:lineRule="atLeast"/>
              <w:ind w:left="252" w:hanging="360"/>
            </w:pPr>
            <w:r w:rsidRPr="00F9400A">
              <w:t xml:space="preserve">  </w:t>
            </w:r>
            <w:r w:rsidR="004F4AB2">
              <w:t>Commercial Banks Industry overview</w:t>
            </w:r>
          </w:p>
          <w:p w:rsidR="00A62C0B" w:rsidRPr="00F9400A" w:rsidRDefault="00A62C0B" w:rsidP="00E0158E">
            <w:pPr>
              <w:tabs>
                <w:tab w:val="left" w:pos="-720"/>
              </w:tabs>
              <w:suppressAutoHyphens/>
              <w:spacing w:line="240" w:lineRule="atLeast"/>
              <w:ind w:left="252" w:hanging="360"/>
            </w:pPr>
          </w:p>
        </w:tc>
        <w:tc>
          <w:tcPr>
            <w:tcW w:w="1719" w:type="dxa"/>
            <w:tcBorders>
              <w:top w:val="single" w:sz="4" w:space="0" w:color="auto"/>
              <w:left w:val="single" w:sz="4" w:space="0" w:color="auto"/>
              <w:bottom w:val="single" w:sz="4" w:space="0" w:color="auto"/>
              <w:right w:val="single" w:sz="4" w:space="0" w:color="auto"/>
            </w:tcBorders>
            <w:hideMark/>
          </w:tcPr>
          <w:p w:rsidR="00A62C0B" w:rsidRDefault="00A62C0B" w:rsidP="00A30917"/>
          <w:p w:rsidR="004F4AB2" w:rsidRDefault="004F4AB2" w:rsidP="00A30917">
            <w:pPr>
              <w:jc w:val="center"/>
            </w:pPr>
            <w:r>
              <w:t>11</w:t>
            </w:r>
            <w:r w:rsidR="00A30917">
              <w:t xml:space="preserve">  &amp;  13</w:t>
            </w:r>
          </w:p>
        </w:tc>
      </w:tr>
      <w:tr w:rsidR="00A62C0B" w:rsidTr="00E0158E">
        <w:trPr>
          <w:trHeight w:val="277"/>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7A7EA5" w:rsidP="00E0158E">
            <w:pPr>
              <w:jc w:val="center"/>
              <w:rPr>
                <w:b/>
                <w:bCs/>
                <w:lang w:val="ms-MY"/>
              </w:rPr>
            </w:pPr>
            <w:r>
              <w:rPr>
                <w:b/>
                <w:bCs/>
                <w:lang w:val="ms-MY"/>
              </w:rPr>
              <w:t>10</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A30917">
            <w:pPr>
              <w:tabs>
                <w:tab w:val="left" w:pos="-720"/>
              </w:tabs>
              <w:suppressAutoHyphens/>
              <w:spacing w:line="240" w:lineRule="atLeast"/>
              <w:ind w:left="252" w:hanging="360"/>
            </w:pPr>
            <w:r>
              <w:t xml:space="preserve">  </w:t>
            </w:r>
            <w:r w:rsidR="00A30917">
              <w:t>Central Bank System in Saudi Arabia ( SAMA )</w:t>
            </w:r>
          </w:p>
        </w:tc>
        <w:tc>
          <w:tcPr>
            <w:tcW w:w="1719" w:type="dxa"/>
            <w:tcBorders>
              <w:top w:val="single" w:sz="4" w:space="0" w:color="auto"/>
              <w:left w:val="single" w:sz="4" w:space="0" w:color="auto"/>
              <w:bottom w:val="single" w:sz="4" w:space="0" w:color="auto"/>
              <w:right w:val="single" w:sz="4" w:space="0" w:color="auto"/>
            </w:tcBorders>
            <w:hideMark/>
          </w:tcPr>
          <w:p w:rsidR="00A62C0B" w:rsidRDefault="004F4AB2" w:rsidP="00E0158E">
            <w:pPr>
              <w:jc w:val="center"/>
            </w:pPr>
            <w:r>
              <w:t>External Material</w:t>
            </w:r>
          </w:p>
        </w:tc>
      </w:tr>
      <w:tr w:rsidR="00A62C0B" w:rsidTr="00E0158E">
        <w:trPr>
          <w:trHeight w:val="277"/>
        </w:trPr>
        <w:tc>
          <w:tcPr>
            <w:tcW w:w="1086" w:type="dxa"/>
            <w:tcBorders>
              <w:top w:val="single" w:sz="4" w:space="0" w:color="auto"/>
              <w:left w:val="single" w:sz="4" w:space="0" w:color="auto"/>
              <w:bottom w:val="single" w:sz="4" w:space="0" w:color="auto"/>
              <w:right w:val="single" w:sz="4" w:space="0" w:color="auto"/>
            </w:tcBorders>
            <w:vAlign w:val="center"/>
          </w:tcPr>
          <w:p w:rsidR="00A62C0B" w:rsidRDefault="007A7EA5" w:rsidP="00E0158E">
            <w:pPr>
              <w:jc w:val="center"/>
              <w:rPr>
                <w:b/>
                <w:bCs/>
                <w:lang w:val="ms-MY"/>
              </w:rPr>
            </w:pPr>
            <w:r>
              <w:rPr>
                <w:b/>
                <w:bCs/>
                <w:lang w:val="ms-MY"/>
              </w:rPr>
              <w:t>11</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Pr="00C809C7" w:rsidRDefault="00A62C0B" w:rsidP="00C809C7">
            <w:pPr>
              <w:tabs>
                <w:tab w:val="left" w:pos="-720"/>
              </w:tabs>
              <w:suppressAutoHyphens/>
              <w:spacing w:line="240" w:lineRule="atLeast"/>
              <w:ind w:left="252" w:hanging="360"/>
            </w:pPr>
            <w:r w:rsidRPr="00C809C7">
              <w:t xml:space="preserve">  </w:t>
            </w:r>
            <w:r w:rsidR="00C809C7" w:rsidRPr="00C809C7">
              <w:t xml:space="preserve">Securities Firms and Investment Banks  </w:t>
            </w:r>
          </w:p>
        </w:tc>
        <w:tc>
          <w:tcPr>
            <w:tcW w:w="1719" w:type="dxa"/>
            <w:tcBorders>
              <w:top w:val="single" w:sz="4" w:space="0" w:color="auto"/>
              <w:left w:val="single" w:sz="4" w:space="0" w:color="auto"/>
              <w:bottom w:val="single" w:sz="4" w:space="0" w:color="auto"/>
              <w:right w:val="single" w:sz="4" w:space="0" w:color="auto"/>
            </w:tcBorders>
            <w:hideMark/>
          </w:tcPr>
          <w:p w:rsidR="00A62C0B" w:rsidRPr="00C809C7" w:rsidRDefault="00C809C7" w:rsidP="00E0158E">
            <w:pPr>
              <w:jc w:val="center"/>
              <w:rPr>
                <w:bCs/>
              </w:rPr>
            </w:pPr>
            <w:r w:rsidRPr="00C809C7">
              <w:rPr>
                <w:bCs/>
              </w:rPr>
              <w:t>1</w:t>
            </w:r>
            <w:r w:rsidR="00C571F0">
              <w:rPr>
                <w:bCs/>
              </w:rPr>
              <w:t>6</w:t>
            </w:r>
          </w:p>
        </w:tc>
      </w:tr>
      <w:tr w:rsidR="00A62C0B" w:rsidTr="00E0158E">
        <w:trPr>
          <w:trHeight w:val="277"/>
        </w:trPr>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7A7EA5" w:rsidP="00E0158E">
            <w:pPr>
              <w:jc w:val="center"/>
              <w:rPr>
                <w:b/>
                <w:bCs/>
                <w:lang w:val="ms-MY"/>
              </w:rPr>
            </w:pPr>
            <w:r>
              <w:rPr>
                <w:b/>
                <w:bCs/>
                <w:lang w:val="ms-MY"/>
              </w:rPr>
              <w:t>12</w:t>
            </w:r>
            <w:r w:rsidR="00A62C0B">
              <w:rPr>
                <w:b/>
                <w:bCs/>
                <w:lang w:val="ms-MY"/>
              </w:rPr>
              <w:t xml:space="preserve"> </w:t>
            </w: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autoSpaceDE w:val="0"/>
              <w:autoSpaceDN w:val="0"/>
              <w:adjustRightInd w:val="0"/>
              <w:ind w:hanging="108"/>
              <w:jc w:val="center"/>
              <w:rPr>
                <w:color w:val="000000"/>
                <w:spacing w:val="1"/>
              </w:rPr>
            </w:pPr>
            <w:r>
              <w:rPr>
                <w:color w:val="000000"/>
                <w:spacing w:val="1"/>
              </w:rPr>
              <w:t>Revision</w:t>
            </w:r>
          </w:p>
        </w:tc>
        <w:tc>
          <w:tcPr>
            <w:tcW w:w="1719" w:type="dxa"/>
            <w:tcBorders>
              <w:top w:val="single" w:sz="4" w:space="0" w:color="auto"/>
              <w:left w:val="single" w:sz="4" w:space="0" w:color="auto"/>
              <w:bottom w:val="single" w:sz="4" w:space="0" w:color="auto"/>
              <w:right w:val="single" w:sz="4" w:space="0" w:color="auto"/>
            </w:tcBorders>
            <w:hideMark/>
          </w:tcPr>
          <w:p w:rsidR="00A62C0B" w:rsidRDefault="00A62C0B" w:rsidP="00E0158E">
            <w:pPr>
              <w:jc w:val="center"/>
            </w:pPr>
          </w:p>
        </w:tc>
      </w:tr>
      <w:tr w:rsidR="00A62C0B" w:rsidTr="00E0158E">
        <w:tc>
          <w:tcPr>
            <w:tcW w:w="1086"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jc w:val="center"/>
              <w:rPr>
                <w:b/>
                <w:bCs/>
                <w:lang w:val="ms-MY"/>
              </w:rPr>
            </w:pPr>
          </w:p>
        </w:tc>
        <w:tc>
          <w:tcPr>
            <w:tcW w:w="3709" w:type="dxa"/>
            <w:tcBorders>
              <w:top w:val="single" w:sz="4" w:space="0" w:color="auto"/>
              <w:left w:val="single" w:sz="4" w:space="0" w:color="auto"/>
              <w:bottom w:val="single" w:sz="4" w:space="0" w:color="auto"/>
              <w:right w:val="single" w:sz="4" w:space="0" w:color="auto"/>
            </w:tcBorders>
            <w:vAlign w:val="center"/>
            <w:hideMark/>
          </w:tcPr>
          <w:p w:rsidR="00A62C0B" w:rsidRDefault="00A62C0B" w:rsidP="00E0158E">
            <w:pPr>
              <w:autoSpaceDE w:val="0"/>
              <w:autoSpaceDN w:val="0"/>
              <w:adjustRightInd w:val="0"/>
              <w:ind w:hanging="108"/>
              <w:rPr>
                <w:color w:val="000000"/>
                <w:spacing w:val="1"/>
              </w:rPr>
            </w:pPr>
          </w:p>
        </w:tc>
        <w:tc>
          <w:tcPr>
            <w:tcW w:w="1719" w:type="dxa"/>
            <w:tcBorders>
              <w:top w:val="single" w:sz="4" w:space="0" w:color="auto"/>
              <w:left w:val="single" w:sz="4" w:space="0" w:color="auto"/>
              <w:bottom w:val="single" w:sz="4" w:space="0" w:color="auto"/>
              <w:right w:val="single" w:sz="4" w:space="0" w:color="auto"/>
            </w:tcBorders>
            <w:hideMark/>
          </w:tcPr>
          <w:p w:rsidR="00A62C0B" w:rsidRDefault="00A62C0B" w:rsidP="00E0158E">
            <w:pPr>
              <w:jc w:val="center"/>
            </w:pPr>
          </w:p>
        </w:tc>
      </w:tr>
      <w:tr w:rsidR="00A62C0B" w:rsidTr="00E0158E">
        <w:trPr>
          <w:trHeight w:val="277"/>
        </w:trPr>
        <w:tc>
          <w:tcPr>
            <w:tcW w:w="1086"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A62C0B" w:rsidRDefault="00A62C0B" w:rsidP="00E0158E">
            <w:pPr>
              <w:jc w:val="center"/>
              <w:rPr>
                <w:b/>
                <w:bCs/>
                <w:lang w:val="ms-MY"/>
              </w:rPr>
            </w:pPr>
            <w:r>
              <w:rPr>
                <w:b/>
                <w:bCs/>
                <w:lang w:val="ms-MY"/>
              </w:rPr>
              <w:t xml:space="preserve"> </w:t>
            </w:r>
          </w:p>
        </w:tc>
        <w:tc>
          <w:tcPr>
            <w:tcW w:w="3709"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A62C0B" w:rsidRDefault="00A62C0B" w:rsidP="00E0158E">
            <w:pPr>
              <w:jc w:val="center"/>
              <w:rPr>
                <w:b/>
              </w:rPr>
            </w:pPr>
            <w:r>
              <w:rPr>
                <w:b/>
              </w:rPr>
              <w:t>FINAL EXAM</w:t>
            </w:r>
          </w:p>
        </w:tc>
        <w:tc>
          <w:tcPr>
            <w:tcW w:w="1719" w:type="dxa"/>
            <w:tcBorders>
              <w:top w:val="single" w:sz="4" w:space="0" w:color="auto"/>
              <w:left w:val="single" w:sz="4" w:space="0" w:color="auto"/>
              <w:bottom w:val="single" w:sz="4" w:space="0" w:color="auto"/>
              <w:right w:val="single" w:sz="4" w:space="0" w:color="auto"/>
            </w:tcBorders>
            <w:shd w:val="pct10" w:color="auto" w:fill="auto"/>
            <w:hideMark/>
          </w:tcPr>
          <w:p w:rsidR="00A62C0B" w:rsidRDefault="00A62C0B" w:rsidP="00E0158E">
            <w:pPr>
              <w:jc w:val="center"/>
              <w:rPr>
                <w:b/>
                <w:bCs/>
                <w:lang w:val="ms-MY"/>
              </w:rPr>
            </w:pPr>
          </w:p>
        </w:tc>
      </w:tr>
      <w:tr w:rsidR="00A62C0B" w:rsidTr="00E0158E">
        <w:tc>
          <w:tcPr>
            <w:tcW w:w="1086"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A62C0B" w:rsidRDefault="00A62C0B" w:rsidP="00E0158E">
            <w:pPr>
              <w:jc w:val="center"/>
              <w:rPr>
                <w:b/>
                <w:bCs/>
                <w:lang w:val="ms-MY"/>
              </w:rPr>
            </w:pPr>
          </w:p>
        </w:tc>
        <w:tc>
          <w:tcPr>
            <w:tcW w:w="3709"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A62C0B" w:rsidRDefault="00A62C0B" w:rsidP="00E0158E">
            <w:pPr>
              <w:rPr>
                <w:b/>
              </w:rPr>
            </w:pPr>
          </w:p>
        </w:tc>
        <w:tc>
          <w:tcPr>
            <w:tcW w:w="1719" w:type="dxa"/>
            <w:tcBorders>
              <w:top w:val="single" w:sz="4" w:space="0" w:color="auto"/>
              <w:left w:val="single" w:sz="4" w:space="0" w:color="auto"/>
              <w:bottom w:val="single" w:sz="4" w:space="0" w:color="auto"/>
              <w:right w:val="single" w:sz="4" w:space="0" w:color="auto"/>
            </w:tcBorders>
            <w:shd w:val="pct10" w:color="auto" w:fill="auto"/>
            <w:hideMark/>
          </w:tcPr>
          <w:p w:rsidR="00A62C0B" w:rsidRDefault="00A62C0B" w:rsidP="00E0158E">
            <w:pPr>
              <w:jc w:val="center"/>
              <w:rPr>
                <w:b/>
                <w:bCs/>
                <w:lang w:val="ms-MY"/>
              </w:rPr>
            </w:pPr>
          </w:p>
        </w:tc>
      </w:tr>
      <w:tr w:rsidR="00A62C0B" w:rsidTr="00E0158E">
        <w:tc>
          <w:tcPr>
            <w:tcW w:w="1086"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A62C0B" w:rsidRDefault="00A62C0B" w:rsidP="00E0158E">
            <w:pPr>
              <w:jc w:val="center"/>
              <w:rPr>
                <w:b/>
                <w:bCs/>
                <w:lang w:val="ms-MY"/>
              </w:rPr>
            </w:pPr>
          </w:p>
        </w:tc>
        <w:tc>
          <w:tcPr>
            <w:tcW w:w="3709"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A62C0B" w:rsidRDefault="00A62C0B" w:rsidP="00E0158E">
            <w:pPr>
              <w:rPr>
                <w:b/>
              </w:rPr>
            </w:pPr>
          </w:p>
        </w:tc>
        <w:tc>
          <w:tcPr>
            <w:tcW w:w="1719" w:type="dxa"/>
            <w:tcBorders>
              <w:top w:val="single" w:sz="4" w:space="0" w:color="auto"/>
              <w:left w:val="single" w:sz="4" w:space="0" w:color="auto"/>
              <w:bottom w:val="single" w:sz="4" w:space="0" w:color="auto"/>
              <w:right w:val="single" w:sz="4" w:space="0" w:color="auto"/>
            </w:tcBorders>
            <w:shd w:val="pct10" w:color="auto" w:fill="auto"/>
            <w:hideMark/>
          </w:tcPr>
          <w:p w:rsidR="00A62C0B" w:rsidRDefault="00A62C0B" w:rsidP="00E0158E">
            <w:pPr>
              <w:jc w:val="center"/>
              <w:rPr>
                <w:b/>
                <w:bCs/>
                <w:lang w:val="ms-MY"/>
              </w:rPr>
            </w:pPr>
          </w:p>
        </w:tc>
      </w:tr>
    </w:tbl>
    <w:p w:rsidR="00A62C0B" w:rsidRDefault="00A62C0B" w:rsidP="00A62C0B">
      <w:pPr>
        <w:pStyle w:val="ListParagraph"/>
      </w:pPr>
    </w:p>
    <w:p w:rsidR="00A62C0B" w:rsidRPr="00A62C0B" w:rsidRDefault="00A62C0B" w:rsidP="00A62C0B">
      <w:pPr>
        <w:rPr>
          <w:b/>
          <w:bCs/>
        </w:rPr>
      </w:pPr>
      <w:r w:rsidRPr="00A62C0B">
        <w:rPr>
          <w:b/>
          <w:bCs/>
        </w:rPr>
        <w:t xml:space="preserve">Evaluation </w:t>
      </w:r>
    </w:p>
    <w:p w:rsidR="00A62C0B" w:rsidRDefault="00A62C0B" w:rsidP="00A62C0B">
      <w:pPr>
        <w:pStyle w:val="NormalIndent"/>
        <w:tabs>
          <w:tab w:val="left" w:pos="1350"/>
          <w:tab w:val="left" w:pos="4320"/>
          <w:tab w:val="left" w:pos="7200"/>
        </w:tabs>
        <w:ind w:left="360"/>
        <w:rPr>
          <w:rFonts w:ascii="Times New Roman" w:hAnsi="Times New Roman"/>
          <w:szCs w:val="24"/>
        </w:rPr>
      </w:pPr>
      <w:r>
        <w:rPr>
          <w:rFonts w:ascii="Times New Roman" w:hAnsi="Times New Roman"/>
          <w:szCs w:val="24"/>
        </w:rPr>
        <w:t>Students will be evaluated based on the following components:</w:t>
      </w:r>
    </w:p>
    <w:p w:rsidR="001A604C" w:rsidRDefault="00A62C0B" w:rsidP="007A7EA5">
      <w:pPr>
        <w:pStyle w:val="NormalIndent"/>
        <w:tabs>
          <w:tab w:val="left" w:pos="3240"/>
          <w:tab w:val="left" w:pos="7200"/>
        </w:tabs>
        <w:ind w:left="360"/>
        <w:rPr>
          <w:rFonts w:ascii="Times New Roman" w:hAnsi="Times New Roman"/>
          <w:szCs w:val="24"/>
        </w:rPr>
      </w:pPr>
      <w:proofErr w:type="gramStart"/>
      <w:r>
        <w:rPr>
          <w:rFonts w:ascii="Times New Roman" w:hAnsi="Times New Roman"/>
          <w:szCs w:val="24"/>
        </w:rPr>
        <w:t>1.</w:t>
      </w:r>
      <w:r w:rsidR="001A604C">
        <w:rPr>
          <w:rFonts w:ascii="Times New Roman" w:hAnsi="Times New Roman"/>
          <w:szCs w:val="24"/>
        </w:rPr>
        <w:t>Attendance</w:t>
      </w:r>
      <w:proofErr w:type="gramEnd"/>
      <w:r w:rsidR="001A604C">
        <w:rPr>
          <w:rFonts w:ascii="Times New Roman" w:hAnsi="Times New Roman"/>
          <w:szCs w:val="24"/>
        </w:rPr>
        <w:t xml:space="preserve">                      </w:t>
      </w:r>
      <w:r w:rsidR="00A30917">
        <w:rPr>
          <w:rFonts w:ascii="Times New Roman" w:hAnsi="Times New Roman"/>
          <w:szCs w:val="24"/>
        </w:rPr>
        <w:t xml:space="preserve">           </w:t>
      </w:r>
      <w:r w:rsidR="001A604C">
        <w:rPr>
          <w:rFonts w:ascii="Times New Roman" w:hAnsi="Times New Roman"/>
          <w:szCs w:val="24"/>
        </w:rPr>
        <w:t xml:space="preserve">        5%</w:t>
      </w:r>
    </w:p>
    <w:p w:rsidR="00A62C0B" w:rsidRDefault="001A604C" w:rsidP="007A7EA5">
      <w:pPr>
        <w:pStyle w:val="NormalIndent"/>
        <w:tabs>
          <w:tab w:val="left" w:pos="3240"/>
          <w:tab w:val="left" w:pos="7200"/>
        </w:tabs>
        <w:ind w:left="360"/>
        <w:rPr>
          <w:rFonts w:ascii="Times New Roman" w:hAnsi="Times New Roman"/>
          <w:szCs w:val="24"/>
        </w:rPr>
      </w:pPr>
      <w:r>
        <w:rPr>
          <w:rFonts w:ascii="Times New Roman" w:hAnsi="Times New Roman"/>
          <w:szCs w:val="24"/>
        </w:rPr>
        <w:t>2.</w:t>
      </w:r>
      <w:r w:rsidR="00A62C0B">
        <w:rPr>
          <w:rFonts w:ascii="Times New Roman" w:hAnsi="Times New Roman"/>
          <w:szCs w:val="24"/>
        </w:rPr>
        <w:t xml:space="preserve"> Quizzes    </w:t>
      </w:r>
      <w:r w:rsidR="00A62C0B">
        <w:rPr>
          <w:rFonts w:ascii="Times New Roman" w:hAnsi="Times New Roman"/>
          <w:szCs w:val="24"/>
        </w:rPr>
        <w:tab/>
      </w:r>
      <w:r w:rsidR="00A30917">
        <w:rPr>
          <w:rFonts w:ascii="Times New Roman" w:hAnsi="Times New Roman"/>
          <w:szCs w:val="24"/>
        </w:rPr>
        <w:t xml:space="preserve">           </w:t>
      </w:r>
      <w:r>
        <w:rPr>
          <w:rFonts w:ascii="Times New Roman" w:hAnsi="Times New Roman"/>
          <w:szCs w:val="24"/>
        </w:rPr>
        <w:t xml:space="preserve"> </w:t>
      </w:r>
      <w:r w:rsidR="00A62C0B">
        <w:rPr>
          <w:rFonts w:ascii="Times New Roman" w:hAnsi="Times New Roman"/>
          <w:szCs w:val="24"/>
        </w:rPr>
        <w:t xml:space="preserve">  </w:t>
      </w:r>
      <w:r w:rsidR="007A7EA5">
        <w:rPr>
          <w:rFonts w:ascii="Times New Roman" w:hAnsi="Times New Roman"/>
          <w:szCs w:val="24"/>
        </w:rPr>
        <w:t>5</w:t>
      </w:r>
      <w:r w:rsidR="00A62C0B">
        <w:rPr>
          <w:rFonts w:ascii="Times New Roman" w:hAnsi="Times New Roman"/>
          <w:szCs w:val="24"/>
        </w:rPr>
        <w:t>%</w:t>
      </w:r>
    </w:p>
    <w:p w:rsidR="00A62C0B" w:rsidRDefault="001A604C" w:rsidP="001A604C">
      <w:pPr>
        <w:pStyle w:val="NormalIndent"/>
        <w:tabs>
          <w:tab w:val="left" w:pos="3240"/>
          <w:tab w:val="left" w:pos="7200"/>
        </w:tabs>
        <w:ind w:left="360"/>
        <w:rPr>
          <w:rFonts w:ascii="Times New Roman" w:hAnsi="Times New Roman"/>
          <w:szCs w:val="24"/>
        </w:rPr>
      </w:pPr>
      <w:r>
        <w:rPr>
          <w:rFonts w:ascii="Times New Roman" w:hAnsi="Times New Roman"/>
          <w:szCs w:val="24"/>
        </w:rPr>
        <w:t>3</w:t>
      </w:r>
      <w:r w:rsidR="00A62C0B">
        <w:rPr>
          <w:rFonts w:ascii="Times New Roman" w:hAnsi="Times New Roman"/>
          <w:szCs w:val="24"/>
        </w:rPr>
        <w:t xml:space="preserve">. </w:t>
      </w:r>
      <w:r>
        <w:rPr>
          <w:rFonts w:ascii="Times New Roman" w:hAnsi="Times New Roman"/>
          <w:szCs w:val="24"/>
        </w:rPr>
        <w:t>Weekly Report</w:t>
      </w:r>
      <w:r w:rsidR="00A30917">
        <w:rPr>
          <w:rFonts w:ascii="Times New Roman" w:hAnsi="Times New Roman"/>
          <w:szCs w:val="24"/>
        </w:rPr>
        <w:t xml:space="preserve"> </w:t>
      </w:r>
      <w:proofErr w:type="gramStart"/>
      <w:r w:rsidR="00A30917">
        <w:rPr>
          <w:rFonts w:ascii="Times New Roman" w:hAnsi="Times New Roman"/>
          <w:szCs w:val="24"/>
        </w:rPr>
        <w:t>( 2</w:t>
      </w:r>
      <w:proofErr w:type="gramEnd"/>
      <w:r w:rsidR="00A30917">
        <w:rPr>
          <w:rFonts w:ascii="Times New Roman" w:hAnsi="Times New Roman"/>
          <w:szCs w:val="24"/>
        </w:rPr>
        <w:t xml:space="preserve">)    </w:t>
      </w:r>
      <w:r>
        <w:rPr>
          <w:rFonts w:ascii="Times New Roman" w:hAnsi="Times New Roman"/>
          <w:szCs w:val="24"/>
        </w:rPr>
        <w:t xml:space="preserve">         </w:t>
      </w:r>
      <w:r w:rsidR="00A62C0B">
        <w:rPr>
          <w:rFonts w:ascii="Times New Roman" w:hAnsi="Times New Roman"/>
          <w:szCs w:val="24"/>
        </w:rPr>
        <w:t xml:space="preserve">          </w:t>
      </w:r>
      <w:r>
        <w:rPr>
          <w:rFonts w:ascii="Times New Roman" w:hAnsi="Times New Roman"/>
          <w:szCs w:val="24"/>
        </w:rPr>
        <w:t xml:space="preserve"> </w:t>
      </w:r>
      <w:r w:rsidR="00A62C0B">
        <w:rPr>
          <w:rFonts w:ascii="Times New Roman" w:hAnsi="Times New Roman"/>
          <w:szCs w:val="24"/>
        </w:rPr>
        <w:t xml:space="preserve"> </w:t>
      </w:r>
      <w:r w:rsidR="00C809C7">
        <w:rPr>
          <w:rFonts w:ascii="Times New Roman" w:hAnsi="Times New Roman"/>
          <w:szCs w:val="24"/>
        </w:rPr>
        <w:t xml:space="preserve">  </w:t>
      </w:r>
      <w:r>
        <w:rPr>
          <w:rFonts w:ascii="Times New Roman" w:hAnsi="Times New Roman"/>
          <w:szCs w:val="24"/>
        </w:rPr>
        <w:t>7</w:t>
      </w:r>
      <w:r w:rsidR="00A62C0B">
        <w:rPr>
          <w:rFonts w:ascii="Times New Roman" w:hAnsi="Times New Roman"/>
          <w:szCs w:val="24"/>
        </w:rPr>
        <w:t>%</w:t>
      </w:r>
    </w:p>
    <w:p w:rsidR="00C809C7" w:rsidRDefault="00C809C7" w:rsidP="001A604C">
      <w:pPr>
        <w:pStyle w:val="NormalIndent"/>
        <w:tabs>
          <w:tab w:val="left" w:pos="3240"/>
          <w:tab w:val="left" w:pos="7200"/>
        </w:tabs>
        <w:ind w:left="360"/>
        <w:rPr>
          <w:rFonts w:ascii="Times New Roman" w:hAnsi="Times New Roman"/>
          <w:szCs w:val="24"/>
        </w:rPr>
      </w:pPr>
      <w:r>
        <w:rPr>
          <w:rFonts w:ascii="Times New Roman" w:hAnsi="Times New Roman"/>
          <w:szCs w:val="24"/>
        </w:rPr>
        <w:t xml:space="preserve">4. </w:t>
      </w:r>
      <w:r w:rsidR="00A30917">
        <w:rPr>
          <w:rFonts w:ascii="Times New Roman" w:hAnsi="Times New Roman"/>
          <w:szCs w:val="24"/>
        </w:rPr>
        <w:t xml:space="preserve">Group </w:t>
      </w:r>
      <w:r>
        <w:rPr>
          <w:rFonts w:ascii="Times New Roman" w:hAnsi="Times New Roman"/>
          <w:szCs w:val="24"/>
        </w:rPr>
        <w:t>Presen</w:t>
      </w:r>
      <w:r w:rsidR="0011229D">
        <w:rPr>
          <w:rFonts w:ascii="Times New Roman" w:hAnsi="Times New Roman"/>
          <w:szCs w:val="24"/>
        </w:rPr>
        <w:t xml:space="preserve">tation </w:t>
      </w:r>
      <w:r w:rsidR="00A30917">
        <w:rPr>
          <w:rFonts w:ascii="Times New Roman" w:hAnsi="Times New Roman"/>
          <w:szCs w:val="24"/>
        </w:rPr>
        <w:t>(5 to 6)</w:t>
      </w:r>
      <w:r w:rsidR="0011229D">
        <w:rPr>
          <w:rFonts w:ascii="Times New Roman" w:hAnsi="Times New Roman"/>
          <w:szCs w:val="24"/>
        </w:rPr>
        <w:t xml:space="preserve">   </w:t>
      </w:r>
      <w:r w:rsidR="00A30917">
        <w:rPr>
          <w:rFonts w:ascii="Times New Roman" w:hAnsi="Times New Roman"/>
          <w:szCs w:val="24"/>
        </w:rPr>
        <w:t xml:space="preserve">           </w:t>
      </w:r>
      <w:r>
        <w:rPr>
          <w:rFonts w:ascii="Times New Roman" w:hAnsi="Times New Roman"/>
          <w:szCs w:val="24"/>
        </w:rPr>
        <w:t xml:space="preserve"> </w:t>
      </w:r>
      <w:r w:rsidR="001A604C">
        <w:rPr>
          <w:rFonts w:ascii="Times New Roman" w:hAnsi="Times New Roman"/>
          <w:szCs w:val="24"/>
        </w:rPr>
        <w:t>8</w:t>
      </w:r>
      <w:r>
        <w:rPr>
          <w:rFonts w:ascii="Times New Roman" w:hAnsi="Times New Roman"/>
          <w:szCs w:val="24"/>
        </w:rPr>
        <w:t>%</w:t>
      </w:r>
    </w:p>
    <w:p w:rsidR="00A62C0B" w:rsidRDefault="001A604C" w:rsidP="001A604C">
      <w:pPr>
        <w:pStyle w:val="NormalIndent"/>
        <w:tabs>
          <w:tab w:val="left" w:pos="3240"/>
          <w:tab w:val="left" w:pos="7200"/>
        </w:tabs>
        <w:ind w:left="360"/>
        <w:rPr>
          <w:rFonts w:ascii="Times New Roman" w:hAnsi="Times New Roman"/>
          <w:szCs w:val="24"/>
        </w:rPr>
      </w:pPr>
      <w:r>
        <w:rPr>
          <w:rFonts w:ascii="Times New Roman" w:hAnsi="Times New Roman"/>
          <w:szCs w:val="24"/>
        </w:rPr>
        <w:t>5</w:t>
      </w:r>
      <w:r w:rsidR="00A62C0B">
        <w:rPr>
          <w:rFonts w:ascii="Times New Roman" w:hAnsi="Times New Roman"/>
          <w:szCs w:val="24"/>
        </w:rPr>
        <w:t>. Major exams</w:t>
      </w:r>
      <w:r w:rsidR="00A62C0B">
        <w:rPr>
          <w:rFonts w:ascii="Times New Roman" w:hAnsi="Times New Roman"/>
          <w:szCs w:val="24"/>
        </w:rPr>
        <w:tab/>
      </w:r>
      <w:r w:rsidR="00A30917">
        <w:rPr>
          <w:rFonts w:ascii="Times New Roman" w:hAnsi="Times New Roman"/>
          <w:szCs w:val="24"/>
        </w:rPr>
        <w:t xml:space="preserve">            </w:t>
      </w:r>
      <w:r w:rsidR="00A62C0B">
        <w:rPr>
          <w:rFonts w:ascii="Times New Roman" w:hAnsi="Times New Roman"/>
          <w:szCs w:val="24"/>
        </w:rPr>
        <w:t xml:space="preserve">  </w:t>
      </w:r>
      <w:r>
        <w:rPr>
          <w:rFonts w:ascii="Times New Roman" w:hAnsi="Times New Roman"/>
          <w:szCs w:val="24"/>
        </w:rPr>
        <w:t>35</w:t>
      </w:r>
      <w:r w:rsidR="00A62C0B">
        <w:rPr>
          <w:rFonts w:ascii="Times New Roman" w:hAnsi="Times New Roman"/>
          <w:szCs w:val="24"/>
        </w:rPr>
        <w:t>%</w:t>
      </w:r>
    </w:p>
    <w:p w:rsidR="00A62C0B" w:rsidRDefault="001A604C" w:rsidP="00A62C0B">
      <w:pPr>
        <w:pStyle w:val="NormalIndent"/>
        <w:tabs>
          <w:tab w:val="left" w:pos="3240"/>
          <w:tab w:val="left" w:pos="7200"/>
        </w:tabs>
        <w:ind w:left="360"/>
        <w:rPr>
          <w:rFonts w:ascii="Times New Roman" w:hAnsi="Times New Roman"/>
          <w:szCs w:val="24"/>
        </w:rPr>
      </w:pPr>
      <w:r>
        <w:rPr>
          <w:rFonts w:ascii="Times New Roman" w:hAnsi="Times New Roman"/>
          <w:szCs w:val="24"/>
        </w:rPr>
        <w:t>6</w:t>
      </w:r>
      <w:r w:rsidR="00A62C0B">
        <w:rPr>
          <w:rFonts w:ascii="Times New Roman" w:hAnsi="Times New Roman"/>
          <w:szCs w:val="24"/>
        </w:rPr>
        <w:t xml:space="preserve">. Final exam </w:t>
      </w:r>
      <w:r w:rsidR="00A62C0B">
        <w:rPr>
          <w:rFonts w:ascii="Times New Roman" w:hAnsi="Times New Roman"/>
          <w:szCs w:val="24"/>
        </w:rPr>
        <w:tab/>
      </w:r>
      <w:r w:rsidR="00A30917">
        <w:rPr>
          <w:rFonts w:ascii="Times New Roman" w:hAnsi="Times New Roman"/>
          <w:szCs w:val="24"/>
        </w:rPr>
        <w:t xml:space="preserve">            </w:t>
      </w:r>
      <w:r w:rsidR="00A62C0B">
        <w:rPr>
          <w:rFonts w:ascii="Times New Roman" w:hAnsi="Times New Roman"/>
          <w:szCs w:val="24"/>
        </w:rPr>
        <w:t xml:space="preserve">  40%</w:t>
      </w:r>
    </w:p>
    <w:p w:rsidR="00391976" w:rsidRPr="00391976" w:rsidRDefault="008F1E97" w:rsidP="00391976">
      <w:pPr>
        <w:ind w:left="720"/>
        <w:jc w:val="both"/>
        <w:rPr>
          <w:rFonts w:ascii="Arial" w:hAnsi="Arial" w:cs="Arial"/>
          <w:b/>
          <w:bCs/>
          <w:sz w:val="22"/>
        </w:rPr>
      </w:pPr>
      <w:r>
        <w:rPr>
          <w:rFonts w:ascii="Arial" w:hAnsi="Arial" w:cs="Arial"/>
          <w:b/>
          <w:bCs/>
          <w:sz w:val="22"/>
        </w:rPr>
        <w:t>Main Reference</w:t>
      </w:r>
      <w:r w:rsidR="00391976" w:rsidRPr="00391976">
        <w:rPr>
          <w:rFonts w:ascii="Arial" w:hAnsi="Arial" w:cs="Arial"/>
          <w:b/>
          <w:bCs/>
          <w:sz w:val="22"/>
        </w:rPr>
        <w:t xml:space="preserve">: </w:t>
      </w:r>
    </w:p>
    <w:p w:rsidR="00391976" w:rsidRDefault="00391976" w:rsidP="00391976">
      <w:pPr>
        <w:ind w:left="720"/>
        <w:jc w:val="both"/>
        <w:rPr>
          <w:rFonts w:ascii="Arial" w:hAnsi="Arial" w:cs="Arial"/>
          <w:sz w:val="22"/>
        </w:rPr>
      </w:pPr>
      <w:r w:rsidRPr="009B3A86">
        <w:rPr>
          <w:rFonts w:ascii="Arial" w:hAnsi="Arial" w:cs="Arial"/>
          <w:sz w:val="22"/>
        </w:rPr>
        <w:t xml:space="preserve">Saunders, A. </w:t>
      </w:r>
      <w:r>
        <w:rPr>
          <w:rFonts w:ascii="Arial" w:hAnsi="Arial" w:cs="Arial"/>
          <w:sz w:val="22"/>
        </w:rPr>
        <w:t xml:space="preserve">and </w:t>
      </w:r>
      <w:r w:rsidRPr="009B3A86">
        <w:rPr>
          <w:rFonts w:ascii="Arial" w:hAnsi="Arial" w:cs="Arial"/>
          <w:sz w:val="22"/>
        </w:rPr>
        <w:t xml:space="preserve">Cornett, M. M. </w:t>
      </w:r>
      <w:r>
        <w:rPr>
          <w:rFonts w:ascii="Arial" w:hAnsi="Arial" w:cs="Arial"/>
          <w:sz w:val="22"/>
        </w:rPr>
        <w:t>(2007</w:t>
      </w:r>
      <w:r w:rsidRPr="009B3A86">
        <w:rPr>
          <w:rFonts w:ascii="Arial" w:hAnsi="Arial" w:cs="Arial"/>
          <w:sz w:val="22"/>
        </w:rPr>
        <w:t xml:space="preserve">) </w:t>
      </w:r>
      <w:r w:rsidRPr="00EE70A4">
        <w:rPr>
          <w:rFonts w:ascii="Arial" w:hAnsi="Arial" w:cs="Arial"/>
          <w:i/>
          <w:iCs/>
          <w:sz w:val="22"/>
        </w:rPr>
        <w:t>Financial Markets and Institutions: An Introduction to the Risk Management Approach</w:t>
      </w:r>
      <w:r>
        <w:rPr>
          <w:rFonts w:ascii="Arial" w:hAnsi="Arial" w:cs="Arial"/>
          <w:sz w:val="22"/>
        </w:rPr>
        <w:t xml:space="preserve">. </w:t>
      </w:r>
      <w:proofErr w:type="gramStart"/>
      <w:r>
        <w:rPr>
          <w:rFonts w:ascii="Arial" w:hAnsi="Arial" w:cs="Arial"/>
          <w:sz w:val="22"/>
        </w:rPr>
        <w:t>4</w:t>
      </w:r>
      <w:r w:rsidRPr="00D06347">
        <w:rPr>
          <w:rFonts w:ascii="Arial" w:hAnsi="Arial" w:cs="Arial"/>
          <w:sz w:val="22"/>
          <w:vertAlign w:val="superscript"/>
        </w:rPr>
        <w:t>rd</w:t>
      </w:r>
      <w:r>
        <w:rPr>
          <w:rFonts w:ascii="Arial" w:hAnsi="Arial" w:cs="Arial"/>
          <w:sz w:val="22"/>
        </w:rPr>
        <w:t xml:space="preserve"> Edition,</w:t>
      </w:r>
      <w:r w:rsidRPr="009B3A86">
        <w:rPr>
          <w:rFonts w:ascii="Arial" w:hAnsi="Arial" w:cs="Arial"/>
          <w:sz w:val="22"/>
        </w:rPr>
        <w:t xml:space="preserve"> McGraw-Hill.</w:t>
      </w:r>
      <w:proofErr w:type="gramEnd"/>
    </w:p>
    <w:p w:rsidR="001A604C" w:rsidRDefault="001A604C" w:rsidP="001A604C">
      <w:pPr>
        <w:jc w:val="both"/>
        <w:rPr>
          <w:rFonts w:ascii="Arial" w:hAnsi="Arial" w:cs="Arial"/>
          <w:sz w:val="22"/>
        </w:rPr>
      </w:pPr>
    </w:p>
    <w:p w:rsidR="001A604C" w:rsidRPr="00A30917" w:rsidRDefault="001A604C" w:rsidP="001A604C">
      <w:pPr>
        <w:jc w:val="both"/>
        <w:rPr>
          <w:rFonts w:ascii="Arial" w:hAnsi="Arial" w:cs="Arial"/>
          <w:b/>
          <w:bCs/>
          <w:sz w:val="22"/>
          <w:u w:val="single"/>
        </w:rPr>
      </w:pPr>
      <w:r w:rsidRPr="00A30917">
        <w:rPr>
          <w:rFonts w:ascii="Arial" w:hAnsi="Arial" w:cs="Arial"/>
          <w:b/>
          <w:bCs/>
          <w:sz w:val="22"/>
          <w:u w:val="single"/>
        </w:rPr>
        <w:t>Weekly Report:</w:t>
      </w:r>
    </w:p>
    <w:p w:rsidR="001A604C" w:rsidRPr="00A30917" w:rsidRDefault="001A604C" w:rsidP="00A30917">
      <w:pPr>
        <w:pStyle w:val="ListParagraph"/>
        <w:numPr>
          <w:ilvl w:val="0"/>
          <w:numId w:val="3"/>
        </w:numPr>
        <w:tabs>
          <w:tab w:val="right" w:pos="284"/>
          <w:tab w:val="right" w:pos="426"/>
        </w:tabs>
        <w:ind w:left="142" w:firstLine="0"/>
        <w:jc w:val="both"/>
        <w:rPr>
          <w:rFonts w:ascii="Arial" w:hAnsi="Arial" w:cs="Arial"/>
          <w:sz w:val="22"/>
        </w:rPr>
      </w:pPr>
      <w:r w:rsidRPr="00A30917">
        <w:rPr>
          <w:rFonts w:ascii="Arial" w:hAnsi="Arial" w:cs="Arial"/>
          <w:sz w:val="22"/>
        </w:rPr>
        <w:t>Write down the</w:t>
      </w:r>
      <w:r w:rsidR="00A30917" w:rsidRPr="00A30917">
        <w:rPr>
          <w:rFonts w:ascii="Arial" w:hAnsi="Arial" w:cs="Arial"/>
          <w:sz w:val="22"/>
        </w:rPr>
        <w:t xml:space="preserve"> weekly</w:t>
      </w:r>
      <w:r w:rsidRPr="00A30917">
        <w:rPr>
          <w:rFonts w:ascii="Arial" w:hAnsi="Arial" w:cs="Arial"/>
          <w:sz w:val="22"/>
        </w:rPr>
        <w:t xml:space="preserve"> </w:t>
      </w:r>
      <w:r w:rsidR="00A30917" w:rsidRPr="00A30917">
        <w:rPr>
          <w:rFonts w:ascii="Arial" w:hAnsi="Arial" w:cs="Arial"/>
          <w:sz w:val="22"/>
        </w:rPr>
        <w:t>values</w:t>
      </w:r>
      <w:r w:rsidRPr="00A30917">
        <w:rPr>
          <w:rFonts w:ascii="Arial" w:hAnsi="Arial" w:cs="Arial"/>
          <w:sz w:val="22"/>
        </w:rPr>
        <w:t xml:space="preserve"> of:</w:t>
      </w:r>
    </w:p>
    <w:p w:rsidR="00A30917" w:rsidRDefault="001A604C" w:rsidP="001A604C">
      <w:pPr>
        <w:jc w:val="both"/>
        <w:rPr>
          <w:rFonts w:ascii="Arial" w:hAnsi="Arial" w:cs="Arial"/>
          <w:sz w:val="22"/>
        </w:rPr>
      </w:pPr>
      <w:r w:rsidRPr="00A30917">
        <w:rPr>
          <w:rFonts w:ascii="Arial" w:hAnsi="Arial" w:cs="Arial"/>
          <w:b/>
          <w:bCs/>
          <w:sz w:val="22"/>
        </w:rPr>
        <w:t>Commodities:</w:t>
      </w:r>
      <w:r>
        <w:rPr>
          <w:rFonts w:ascii="Arial" w:hAnsi="Arial" w:cs="Arial"/>
          <w:sz w:val="22"/>
        </w:rPr>
        <w:t xml:space="preserve"> Oil and Gold. </w:t>
      </w:r>
    </w:p>
    <w:p w:rsidR="00A30917" w:rsidRDefault="001A604C" w:rsidP="001A604C">
      <w:pPr>
        <w:jc w:val="both"/>
        <w:rPr>
          <w:rFonts w:ascii="Arial" w:hAnsi="Arial" w:cs="Arial"/>
          <w:sz w:val="22"/>
        </w:rPr>
      </w:pPr>
      <w:r w:rsidRPr="00A30917">
        <w:rPr>
          <w:rFonts w:ascii="Arial" w:hAnsi="Arial" w:cs="Arial"/>
          <w:b/>
          <w:bCs/>
          <w:sz w:val="22"/>
        </w:rPr>
        <w:t>Currencies:</w:t>
      </w:r>
      <w:r>
        <w:rPr>
          <w:rFonts w:ascii="Arial" w:hAnsi="Arial" w:cs="Arial"/>
          <w:sz w:val="22"/>
        </w:rPr>
        <w:t xml:space="preserve"> Euro, Pound Sterling and Japanese Yen against the Dollar.  </w:t>
      </w:r>
    </w:p>
    <w:p w:rsidR="001A604C" w:rsidRDefault="001A604C" w:rsidP="001A604C">
      <w:pPr>
        <w:jc w:val="both"/>
        <w:rPr>
          <w:rFonts w:ascii="Arial" w:hAnsi="Arial" w:cs="Arial"/>
          <w:sz w:val="22"/>
        </w:rPr>
      </w:pPr>
      <w:r>
        <w:rPr>
          <w:rFonts w:ascii="Arial" w:hAnsi="Arial" w:cs="Arial"/>
          <w:sz w:val="22"/>
        </w:rPr>
        <w:t xml:space="preserve"> </w:t>
      </w:r>
      <w:r w:rsidRPr="00A30917">
        <w:rPr>
          <w:rFonts w:ascii="Arial" w:hAnsi="Arial" w:cs="Arial"/>
          <w:b/>
          <w:bCs/>
          <w:sz w:val="22"/>
        </w:rPr>
        <w:t>Indexes:</w:t>
      </w:r>
      <w:r>
        <w:rPr>
          <w:rFonts w:ascii="Arial" w:hAnsi="Arial" w:cs="Arial"/>
          <w:sz w:val="22"/>
        </w:rPr>
        <w:t xml:space="preserve"> </w:t>
      </w:r>
      <w:r w:rsidR="00A30917">
        <w:rPr>
          <w:rFonts w:ascii="Arial" w:hAnsi="Arial" w:cs="Arial"/>
          <w:sz w:val="22"/>
        </w:rPr>
        <w:t xml:space="preserve">    </w:t>
      </w:r>
      <w:proofErr w:type="spellStart"/>
      <w:r w:rsidR="00A30917">
        <w:rPr>
          <w:rFonts w:ascii="Arial" w:hAnsi="Arial" w:cs="Arial"/>
          <w:sz w:val="22"/>
        </w:rPr>
        <w:t>Tasi</w:t>
      </w:r>
      <w:proofErr w:type="spellEnd"/>
      <w:r w:rsidR="00A30917">
        <w:rPr>
          <w:rFonts w:ascii="Arial" w:hAnsi="Arial" w:cs="Arial"/>
          <w:sz w:val="22"/>
        </w:rPr>
        <w:t xml:space="preserve"> and Dow.</w:t>
      </w:r>
      <w:r w:rsidR="00963F38">
        <w:rPr>
          <w:rFonts w:ascii="Arial" w:hAnsi="Arial" w:cs="Arial"/>
          <w:sz w:val="22"/>
        </w:rPr>
        <w:t xml:space="preserve"> </w:t>
      </w:r>
      <w:proofErr w:type="gramStart"/>
      <w:r w:rsidR="00963F38">
        <w:rPr>
          <w:rFonts w:ascii="Arial" w:hAnsi="Arial" w:cs="Arial"/>
          <w:sz w:val="22"/>
        </w:rPr>
        <w:t>( information</w:t>
      </w:r>
      <w:proofErr w:type="gramEnd"/>
      <w:r w:rsidR="00963F38">
        <w:rPr>
          <w:rFonts w:ascii="Arial" w:hAnsi="Arial" w:cs="Arial"/>
          <w:sz w:val="22"/>
        </w:rPr>
        <w:t xml:space="preserve"> can be found</w:t>
      </w:r>
      <w:r w:rsidR="000E6FBD">
        <w:rPr>
          <w:rFonts w:ascii="Arial" w:hAnsi="Arial" w:cs="Arial"/>
          <w:sz w:val="22"/>
        </w:rPr>
        <w:t xml:space="preserve">: </w:t>
      </w:r>
      <w:r w:rsidR="00963F38">
        <w:rPr>
          <w:rFonts w:ascii="Arial" w:hAnsi="Arial" w:cs="Arial"/>
          <w:sz w:val="22"/>
        </w:rPr>
        <w:t xml:space="preserve"> </w:t>
      </w:r>
      <w:r w:rsidR="00963F38" w:rsidRPr="000E6FBD">
        <w:rPr>
          <w:rFonts w:ascii="Arial" w:hAnsi="Arial" w:cs="Arial"/>
          <w:b/>
          <w:bCs/>
          <w:sz w:val="22"/>
        </w:rPr>
        <w:t>http://finance.yahoo.com/</w:t>
      </w:r>
      <w:r w:rsidR="000E6FBD">
        <w:rPr>
          <w:rFonts w:ascii="Arial" w:hAnsi="Arial" w:cs="Arial"/>
          <w:sz w:val="22"/>
        </w:rPr>
        <w:t xml:space="preserve"> </w:t>
      </w:r>
      <w:r w:rsidR="006A1926">
        <w:rPr>
          <w:rFonts w:ascii="Arial" w:hAnsi="Arial" w:cs="Arial"/>
          <w:sz w:val="22"/>
        </w:rPr>
        <w:t xml:space="preserve">and </w:t>
      </w:r>
      <w:hyperlink r:id="rId5" w:history="1">
        <w:r w:rsidR="006A1926" w:rsidRPr="001B1C3D">
          <w:rPr>
            <w:rStyle w:val="Hyperlink"/>
            <w:rFonts w:ascii="Arial" w:hAnsi="Arial" w:cs="Arial"/>
            <w:sz w:val="22"/>
          </w:rPr>
          <w:t>www.tadawul.com.sa</w:t>
        </w:r>
      </w:hyperlink>
      <w:r w:rsidR="006A1926">
        <w:rPr>
          <w:rFonts w:ascii="Arial" w:hAnsi="Arial" w:cs="Arial"/>
          <w:sz w:val="22"/>
        </w:rPr>
        <w:t xml:space="preserve"> </w:t>
      </w:r>
      <w:r w:rsidR="000E6FBD">
        <w:rPr>
          <w:rFonts w:ascii="Arial" w:hAnsi="Arial" w:cs="Arial"/>
          <w:sz w:val="22"/>
        </w:rPr>
        <w:t>)</w:t>
      </w:r>
    </w:p>
    <w:p w:rsidR="00A30917" w:rsidRDefault="00A30917" w:rsidP="00A30917">
      <w:pPr>
        <w:pStyle w:val="ListParagraph"/>
        <w:numPr>
          <w:ilvl w:val="0"/>
          <w:numId w:val="3"/>
        </w:numPr>
        <w:jc w:val="both"/>
        <w:rPr>
          <w:rFonts w:ascii="Arial" w:hAnsi="Arial" w:cs="Arial"/>
          <w:sz w:val="22"/>
        </w:rPr>
      </w:pPr>
      <w:r>
        <w:rPr>
          <w:rFonts w:ascii="Arial" w:hAnsi="Arial" w:cs="Arial"/>
          <w:sz w:val="22"/>
        </w:rPr>
        <w:t>Write down important news that affected commodities, currencies or Indexes.</w:t>
      </w:r>
    </w:p>
    <w:p w:rsidR="00A30917" w:rsidRPr="00A30917" w:rsidRDefault="00A30917" w:rsidP="00A30917">
      <w:pPr>
        <w:pStyle w:val="ListParagraph"/>
        <w:numPr>
          <w:ilvl w:val="0"/>
          <w:numId w:val="3"/>
        </w:numPr>
        <w:jc w:val="both"/>
        <w:rPr>
          <w:rFonts w:ascii="Arial" w:hAnsi="Arial" w:cs="Arial"/>
          <w:sz w:val="22"/>
        </w:rPr>
      </w:pPr>
      <w:r>
        <w:rPr>
          <w:rFonts w:ascii="Arial" w:hAnsi="Arial" w:cs="Arial"/>
          <w:sz w:val="22"/>
        </w:rPr>
        <w:t xml:space="preserve">In week 11 you will hand in the report with a chart of the prices and an analysis. </w:t>
      </w:r>
    </w:p>
    <w:sectPr w:rsidR="00A30917" w:rsidRPr="00A30917" w:rsidSect="002F2B06">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B324F"/>
    <w:multiLevelType w:val="multilevel"/>
    <w:tmpl w:val="68BC5D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1575BEB"/>
    <w:multiLevelType w:val="hybridMultilevel"/>
    <w:tmpl w:val="BC10494A"/>
    <w:lvl w:ilvl="0" w:tplc="EE445CFE">
      <w:start w:val="1"/>
      <w:numFmt w:val="upperLetter"/>
      <w:lvlText w:val="%1."/>
      <w:lvlJc w:val="left"/>
      <w:pPr>
        <w:tabs>
          <w:tab w:val="num" w:pos="360"/>
        </w:tabs>
        <w:ind w:left="360" w:hanging="360"/>
      </w:pPr>
      <w:rPr>
        <w:rFonts w:ascii="Arial" w:hAnsi="Arial" w:cs="Arial" w:hint="default"/>
        <w:b/>
        <w:bCs/>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7A027D9B"/>
    <w:multiLevelType w:val="hybridMultilevel"/>
    <w:tmpl w:val="EBD62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51AEB"/>
    <w:rsid w:val="0001749E"/>
    <w:rsid w:val="000E6FBD"/>
    <w:rsid w:val="0011229D"/>
    <w:rsid w:val="001A604C"/>
    <w:rsid w:val="001F30CC"/>
    <w:rsid w:val="002F2B06"/>
    <w:rsid w:val="00391976"/>
    <w:rsid w:val="00391E1A"/>
    <w:rsid w:val="003A4DE0"/>
    <w:rsid w:val="00445D58"/>
    <w:rsid w:val="004F4AB2"/>
    <w:rsid w:val="006A1926"/>
    <w:rsid w:val="00744761"/>
    <w:rsid w:val="007A7EA5"/>
    <w:rsid w:val="008018DA"/>
    <w:rsid w:val="008F1E97"/>
    <w:rsid w:val="00963F38"/>
    <w:rsid w:val="00A30917"/>
    <w:rsid w:val="00A62C0B"/>
    <w:rsid w:val="00B06011"/>
    <w:rsid w:val="00C54765"/>
    <w:rsid w:val="00C571F0"/>
    <w:rsid w:val="00C809C7"/>
    <w:rsid w:val="00CB703F"/>
    <w:rsid w:val="00D67426"/>
    <w:rsid w:val="00DB1155"/>
    <w:rsid w:val="00E51AEB"/>
    <w:rsid w:val="00EE19D0"/>
    <w:rsid w:val="00EF7873"/>
    <w:rsid w:val="00F940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AE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51AEB"/>
    <w:pPr>
      <w:keepNext/>
      <w:jc w:val="center"/>
      <w:outlineLvl w:val="0"/>
    </w:pPr>
    <w:rPr>
      <w:rFonts w:ascii="Arial" w:hAnsi="Arial" w:cs="Arial"/>
      <w:b/>
      <w:bCs/>
      <w:sz w:val="22"/>
    </w:rPr>
  </w:style>
  <w:style w:type="paragraph" w:styleId="Heading2">
    <w:name w:val="heading 2"/>
    <w:basedOn w:val="Normal"/>
    <w:next w:val="Normal"/>
    <w:link w:val="Heading2Char"/>
    <w:unhideWhenUsed/>
    <w:qFormat/>
    <w:rsid w:val="00E51AEB"/>
    <w:pPr>
      <w:keepNext/>
      <w:jc w:val="center"/>
      <w:outlineLvl w:val="1"/>
    </w:pPr>
    <w:rPr>
      <w:rFonts w:ascii="Arial" w:hAnsi="Arial" w:cs="Arial"/>
      <w:b/>
      <w:bCs/>
    </w:rPr>
  </w:style>
  <w:style w:type="paragraph" w:styleId="Heading4">
    <w:name w:val="heading 4"/>
    <w:basedOn w:val="Normal"/>
    <w:next w:val="Normal"/>
    <w:link w:val="Heading4Char"/>
    <w:uiPriority w:val="9"/>
    <w:unhideWhenUsed/>
    <w:qFormat/>
    <w:rsid w:val="00A62C0B"/>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unhideWhenUsed/>
    <w:qFormat/>
    <w:rsid w:val="00F9400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1AEB"/>
    <w:rPr>
      <w:rFonts w:ascii="Arial" w:eastAsia="Times New Roman" w:hAnsi="Arial" w:cs="Arial"/>
      <w:b/>
      <w:bCs/>
      <w:szCs w:val="24"/>
    </w:rPr>
  </w:style>
  <w:style w:type="character" w:customStyle="1" w:styleId="Heading2Char">
    <w:name w:val="Heading 2 Char"/>
    <w:basedOn w:val="DefaultParagraphFont"/>
    <w:link w:val="Heading2"/>
    <w:rsid w:val="00E51AEB"/>
    <w:rPr>
      <w:rFonts w:ascii="Arial" w:eastAsia="Times New Roman" w:hAnsi="Arial" w:cs="Arial"/>
      <w:b/>
      <w:bCs/>
      <w:sz w:val="24"/>
      <w:szCs w:val="24"/>
    </w:rPr>
  </w:style>
  <w:style w:type="character" w:styleId="Hyperlink">
    <w:name w:val="Hyperlink"/>
    <w:basedOn w:val="DefaultParagraphFont"/>
    <w:uiPriority w:val="99"/>
    <w:unhideWhenUsed/>
    <w:rsid w:val="00E51AEB"/>
    <w:rPr>
      <w:color w:val="0000FF" w:themeColor="hyperlink"/>
      <w:u w:val="single"/>
    </w:rPr>
  </w:style>
  <w:style w:type="paragraph" w:styleId="NormalWeb">
    <w:name w:val="Normal (Web)"/>
    <w:basedOn w:val="Normal"/>
    <w:rsid w:val="00E51AEB"/>
    <w:pPr>
      <w:spacing w:before="100" w:beforeAutospacing="1" w:after="100" w:afterAutospacing="1"/>
    </w:pPr>
  </w:style>
  <w:style w:type="character" w:customStyle="1" w:styleId="Heading4Char">
    <w:name w:val="Heading 4 Char"/>
    <w:basedOn w:val="DefaultParagraphFont"/>
    <w:link w:val="Heading4"/>
    <w:uiPriority w:val="9"/>
    <w:rsid w:val="00A62C0B"/>
    <w:rPr>
      <w:rFonts w:asciiTheme="majorHAnsi" w:eastAsiaTheme="majorEastAsia" w:hAnsiTheme="majorHAnsi" w:cstheme="majorBidi"/>
      <w:b/>
      <w:bCs/>
      <w:i/>
      <w:iCs/>
      <w:color w:val="4F81BD" w:themeColor="accent1"/>
      <w:sz w:val="24"/>
      <w:szCs w:val="24"/>
    </w:rPr>
  </w:style>
  <w:style w:type="character" w:customStyle="1" w:styleId="NormalIndentChar">
    <w:name w:val="Normal Indent Char"/>
    <w:link w:val="NormalIndent"/>
    <w:semiHidden/>
    <w:locked/>
    <w:rsid w:val="00A62C0B"/>
    <w:rPr>
      <w:rFonts w:ascii="Times" w:hAnsi="Times" w:cs="Times"/>
      <w:sz w:val="24"/>
    </w:rPr>
  </w:style>
  <w:style w:type="paragraph" w:styleId="NormalIndent">
    <w:name w:val="Normal Indent"/>
    <w:basedOn w:val="Normal"/>
    <w:link w:val="NormalIndentChar"/>
    <w:semiHidden/>
    <w:unhideWhenUsed/>
    <w:rsid w:val="00A62C0B"/>
    <w:pPr>
      <w:ind w:left="720"/>
    </w:pPr>
    <w:rPr>
      <w:rFonts w:ascii="Times" w:eastAsiaTheme="minorHAnsi" w:hAnsi="Times" w:cs="Times"/>
      <w:szCs w:val="22"/>
    </w:rPr>
  </w:style>
  <w:style w:type="paragraph" w:styleId="ListParagraph">
    <w:name w:val="List Paragraph"/>
    <w:basedOn w:val="Normal"/>
    <w:uiPriority w:val="34"/>
    <w:qFormat/>
    <w:rsid w:val="00A62C0B"/>
    <w:pPr>
      <w:ind w:left="720"/>
      <w:contextualSpacing/>
    </w:pPr>
  </w:style>
  <w:style w:type="character" w:customStyle="1" w:styleId="Heading6Char">
    <w:name w:val="Heading 6 Char"/>
    <w:basedOn w:val="DefaultParagraphFont"/>
    <w:link w:val="Heading6"/>
    <w:uiPriority w:val="9"/>
    <w:rsid w:val="00F9400A"/>
    <w:rPr>
      <w:rFonts w:asciiTheme="majorHAnsi" w:eastAsiaTheme="majorEastAsia" w:hAnsiTheme="majorHAnsi" w:cstheme="majorBidi"/>
      <w:i/>
      <w:iCs/>
      <w:color w:val="243F60" w:themeColor="accent1" w:themeShade="7F"/>
      <w:sz w:val="24"/>
      <w:szCs w:val="24"/>
    </w:rPr>
  </w:style>
  <w:style w:type="character" w:customStyle="1" w:styleId="pagetitle1">
    <w:name w:val="pagetitle1"/>
    <w:basedOn w:val="DefaultParagraphFont"/>
    <w:rsid w:val="00F9400A"/>
    <w:rPr>
      <w:rFonts w:ascii="Tahoma" w:hAnsi="Tahoma" w:cs="Tahoma" w:hint="default"/>
      <w:b/>
      <w:bCs/>
      <w:sz w:val="36"/>
      <w:szCs w:val="36"/>
    </w:rPr>
  </w:style>
  <w:style w:type="paragraph" w:styleId="BalloonText">
    <w:name w:val="Balloon Text"/>
    <w:basedOn w:val="Normal"/>
    <w:link w:val="BalloonTextChar"/>
    <w:uiPriority w:val="99"/>
    <w:semiHidden/>
    <w:unhideWhenUsed/>
    <w:rsid w:val="00963F38"/>
    <w:rPr>
      <w:rFonts w:ascii="Tahoma" w:hAnsi="Tahoma" w:cs="Tahoma"/>
      <w:sz w:val="16"/>
      <w:szCs w:val="16"/>
    </w:rPr>
  </w:style>
  <w:style w:type="character" w:customStyle="1" w:styleId="BalloonTextChar">
    <w:name w:val="Balloon Text Char"/>
    <w:basedOn w:val="DefaultParagraphFont"/>
    <w:link w:val="BalloonText"/>
    <w:uiPriority w:val="99"/>
    <w:semiHidden/>
    <w:rsid w:val="00963F3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adawul.com.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GHADAH</dc:creator>
  <cp:lastModifiedBy>GHADAH</cp:lastModifiedBy>
  <cp:revision>12</cp:revision>
  <cp:lastPrinted>2012-02-03T21:12:00Z</cp:lastPrinted>
  <dcterms:created xsi:type="dcterms:W3CDTF">2011-09-11T21:24:00Z</dcterms:created>
  <dcterms:modified xsi:type="dcterms:W3CDTF">2012-02-04T19:37:00Z</dcterms:modified>
</cp:coreProperties>
</file>