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F98" w:rsidRDefault="00A05F98" w:rsidP="00A05F98">
      <w:pPr>
        <w:pStyle w:val="Heading1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>King Saud UNIVERSITY</w:t>
      </w:r>
    </w:p>
    <w:p w:rsidR="00A05F98" w:rsidRDefault="00A05F98" w:rsidP="00A05F98">
      <w:pPr>
        <w:pStyle w:val="Heading2"/>
        <w:rPr>
          <w:rFonts w:ascii="Times New Roman" w:hAnsi="Times New Roman" w:cs="Times New Roman"/>
          <w:sz w:val="28"/>
          <w:szCs w:val="28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Times New Roman" w:hAnsi="Times New Roman" w:cs="Times New Roman"/>
              <w:sz w:val="28"/>
              <w:szCs w:val="28"/>
            </w:rPr>
            <w:t>College</w:t>
          </w:r>
        </w:smartTag>
        <w:r>
          <w:rPr>
            <w:rFonts w:ascii="Times New Roman" w:hAnsi="Times New Roman" w:cs="Times New Roman"/>
            <w:sz w:val="28"/>
            <w:szCs w:val="28"/>
          </w:rPr>
          <w:t xml:space="preserve"> of </w:t>
        </w:r>
        <w:smartTag w:uri="urn:schemas-microsoft-com:office:smarttags" w:element="PlaceName">
          <w:r>
            <w:rPr>
              <w:rFonts w:ascii="Times New Roman" w:hAnsi="Times New Roman" w:cs="Times New Roman"/>
              <w:sz w:val="28"/>
              <w:szCs w:val="28"/>
            </w:rPr>
            <w:t>Business Administration</w:t>
          </w:r>
        </w:smartTag>
      </w:smartTag>
    </w:p>
    <w:p w:rsidR="00A05F98" w:rsidRDefault="00A05F98" w:rsidP="00A05F98">
      <w:pPr>
        <w:jc w:val="center"/>
        <w:rPr>
          <w:b/>
        </w:rPr>
      </w:pPr>
      <w:r>
        <w:rPr>
          <w:b/>
        </w:rPr>
        <w:t>Semester I 2012/2013</w:t>
      </w:r>
    </w:p>
    <w:p w:rsidR="00A05F98" w:rsidRDefault="00A05F98" w:rsidP="00A05F98">
      <w:pPr>
        <w:rPr>
          <w:b/>
        </w:rPr>
      </w:pPr>
      <w:r>
        <w:rPr>
          <w:b/>
        </w:rPr>
        <w:t xml:space="preserve">Course Code </w:t>
      </w:r>
      <w:r>
        <w:rPr>
          <w:b/>
        </w:rPr>
        <w:tab/>
        <w:t xml:space="preserve">:  FIN 220                                      </w:t>
      </w:r>
      <w:r w:rsidRPr="00E51AEB">
        <w:rPr>
          <w:b/>
        </w:rPr>
        <w:t>Credit Hours:       3</w:t>
      </w:r>
      <w:r w:rsidRPr="00E51AEB">
        <w:rPr>
          <w:b/>
        </w:rPr>
        <w:tab/>
      </w:r>
    </w:p>
    <w:p w:rsidR="00A05F98" w:rsidRDefault="00A05F98" w:rsidP="00A05F98">
      <w:pPr>
        <w:rPr>
          <w:b/>
        </w:rPr>
      </w:pPr>
      <w:r>
        <w:rPr>
          <w:b/>
        </w:rPr>
        <w:t xml:space="preserve">Course Title:  </w:t>
      </w:r>
      <w:r w:rsidR="003105DD">
        <w:rPr>
          <w:b/>
        </w:rPr>
        <w:t xml:space="preserve">Essentials of Investments  </w:t>
      </w:r>
      <w:r>
        <w:rPr>
          <w:b/>
        </w:rPr>
        <w:t xml:space="preserve">    </w:t>
      </w:r>
      <w:r>
        <w:rPr>
          <w:b/>
        </w:rPr>
        <w:tab/>
      </w:r>
    </w:p>
    <w:p w:rsidR="00A05F98" w:rsidRDefault="00A05F98" w:rsidP="00A05F98">
      <w:pPr>
        <w:rPr>
          <w:b/>
        </w:rPr>
      </w:pPr>
      <w:r>
        <w:rPr>
          <w:b/>
        </w:rPr>
        <w:t xml:space="preserve">Pre-requisite </w:t>
      </w:r>
      <w:r>
        <w:rPr>
          <w:b/>
        </w:rPr>
        <w:tab/>
        <w:t xml:space="preserve">: FIN 200                                   Instructor: </w:t>
      </w:r>
      <w:proofErr w:type="spellStart"/>
      <w:r>
        <w:rPr>
          <w:b/>
        </w:rPr>
        <w:t>Ms.Ghadah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Alarifi</w:t>
      </w:r>
      <w:proofErr w:type="spellEnd"/>
      <w:r>
        <w:rPr>
          <w:b/>
        </w:rPr>
        <w:t xml:space="preserve">  </w:t>
      </w:r>
    </w:p>
    <w:p w:rsidR="00A05F98" w:rsidRDefault="00A05F98" w:rsidP="00A05F98">
      <w:pPr>
        <w:jc w:val="both"/>
        <w:rPr>
          <w:b/>
          <w:lang w:val="pt-BR"/>
        </w:rPr>
      </w:pPr>
      <w:r>
        <w:rPr>
          <w:b/>
          <w:lang w:val="pt-BR"/>
        </w:rPr>
        <w:t>Office</w:t>
      </w:r>
      <w:r>
        <w:rPr>
          <w:b/>
          <w:lang w:val="pt-BR"/>
        </w:rPr>
        <w:tab/>
      </w:r>
      <w:r>
        <w:rPr>
          <w:b/>
          <w:lang w:val="pt-BR"/>
        </w:rPr>
        <w:tab/>
        <w:t xml:space="preserve">:  B16  # 50                            E-mail : </w:t>
      </w:r>
      <w:hyperlink r:id="rId5" w:history="1">
        <w:r w:rsidRPr="0045056E">
          <w:rPr>
            <w:rStyle w:val="Hyperlink"/>
            <w:b/>
            <w:lang w:val="pt-BR"/>
          </w:rPr>
          <w:t>Ghalarifi@ksu.edu.sa</w:t>
        </w:r>
      </w:hyperlink>
    </w:p>
    <w:p w:rsidR="00A05F98" w:rsidRDefault="00A05F98" w:rsidP="00A05F98">
      <w:pPr>
        <w:jc w:val="both"/>
        <w:rPr>
          <w:b/>
          <w:lang w:val="pt-BR"/>
        </w:rPr>
      </w:pPr>
      <w:r>
        <w:rPr>
          <w:b/>
          <w:lang w:val="pt-BR"/>
        </w:rPr>
        <w:t xml:space="preserve">Website :   </w:t>
      </w:r>
      <w:r w:rsidRPr="00EF7873">
        <w:rPr>
          <w:b/>
          <w:lang w:val="pt-BR"/>
        </w:rPr>
        <w:t>http://fac.ksu.edu.sa/ghalarifi/home</w:t>
      </w:r>
    </w:p>
    <w:p w:rsidR="001A452E" w:rsidRDefault="001A452E" w:rsidP="001A452E">
      <w:pPr>
        <w:pBdr>
          <w:top w:val="single" w:sz="4" w:space="1" w:color="auto"/>
        </w:pBdr>
        <w:rPr>
          <w:b/>
          <w:bCs/>
        </w:rPr>
      </w:pPr>
      <w:r>
        <w:rPr>
          <w:b/>
          <w:bCs/>
        </w:rPr>
        <w:t>I.       Course Description</w:t>
      </w:r>
    </w:p>
    <w:p w:rsidR="00343112" w:rsidRDefault="001A452E" w:rsidP="001A452E">
      <w:pPr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  <w:r w:rsidRPr="001A452E">
        <w:rPr>
          <w:rFonts w:ascii="Arial" w:hAnsi="Arial" w:cs="Arial"/>
          <w:sz w:val="22"/>
        </w:rPr>
        <w:t xml:space="preserve">This is an intermediate course in Finance that, first of all, presents financial markets’ role, functioning and instruments (traditional and derivatives). Second, the central question of price formation is addressed: are securities fairly priced? The answer to that question determines the strategies used by investors. If investors believe that prices are fair, they </w:t>
      </w:r>
      <w:r>
        <w:rPr>
          <w:rFonts w:ascii="Arial" w:hAnsi="Arial" w:cs="Arial"/>
          <w:sz w:val="22"/>
        </w:rPr>
        <w:t>will play passive strategies.</w:t>
      </w:r>
      <w:r w:rsidRPr="001A452E">
        <w:rPr>
          <w:rFonts w:ascii="Arial" w:hAnsi="Arial" w:cs="Arial"/>
          <w:sz w:val="22"/>
        </w:rPr>
        <w:t xml:space="preserve"> Wher</w:t>
      </w:r>
      <w:r>
        <w:rPr>
          <w:rFonts w:ascii="Arial" w:hAnsi="Arial" w:cs="Arial"/>
          <w:sz w:val="22"/>
        </w:rPr>
        <w:t>e</w:t>
      </w:r>
      <w:r w:rsidRPr="001A452E">
        <w:rPr>
          <w:rFonts w:ascii="Arial" w:hAnsi="Arial" w:cs="Arial"/>
          <w:sz w:val="22"/>
        </w:rPr>
        <w:t>as they will try to catch up with investment opportunities by executing active investment strategies. Finally fundamental and technical analysis validity is assessed in regard to portfolio performance and asset valuation.</w:t>
      </w:r>
    </w:p>
    <w:p w:rsidR="001A452E" w:rsidRDefault="001A452E" w:rsidP="001A452E">
      <w:pPr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  <w:r w:rsidRPr="00E968BC">
        <w:rPr>
          <w:rFonts w:ascii="Arial" w:hAnsi="Arial" w:cs="Arial"/>
          <w:b/>
          <w:bCs/>
        </w:rPr>
        <w:t>II.   Course Objectives:</w:t>
      </w:r>
    </w:p>
    <w:p w:rsidR="001A452E" w:rsidRDefault="001A452E" w:rsidP="001A452E">
      <w:pPr>
        <w:tabs>
          <w:tab w:val="left" w:pos="0"/>
        </w:tabs>
        <w:suppressAutoHyphens/>
        <w:jc w:val="both"/>
        <w:rPr>
          <w:rFonts w:ascii="Arial" w:hAnsi="Arial" w:cs="Arial"/>
          <w:sz w:val="22"/>
        </w:rPr>
      </w:pPr>
      <w:r w:rsidRPr="00064D41">
        <w:rPr>
          <w:rFonts w:ascii="Arial" w:hAnsi="Arial" w:cs="Arial"/>
          <w:sz w:val="22"/>
        </w:rPr>
        <w:t xml:space="preserve">Having read this course, the students are expected to have a better understanding </w:t>
      </w:r>
      <w:proofErr w:type="gramStart"/>
      <w:r w:rsidRPr="00064D41">
        <w:rPr>
          <w:rFonts w:ascii="Arial" w:hAnsi="Arial" w:cs="Arial"/>
          <w:sz w:val="22"/>
        </w:rPr>
        <w:t>of</w:t>
      </w:r>
      <w:r>
        <w:rPr>
          <w:rFonts w:ascii="Arial" w:hAnsi="Arial" w:cs="Arial"/>
          <w:sz w:val="22"/>
        </w:rPr>
        <w:t xml:space="preserve"> </w:t>
      </w:r>
      <w:r w:rsidRPr="00023A56">
        <w:rPr>
          <w:sz w:val="22"/>
          <w:szCs w:val="22"/>
        </w:rPr>
        <w:t xml:space="preserve"> investment</w:t>
      </w:r>
      <w:proofErr w:type="gramEnd"/>
      <w:r w:rsidRPr="00023A56">
        <w:rPr>
          <w:sz w:val="22"/>
          <w:szCs w:val="22"/>
        </w:rPr>
        <w:t xml:space="preserve"> </w:t>
      </w:r>
      <w:r w:rsidR="006A3F05" w:rsidRPr="00023A56">
        <w:rPr>
          <w:sz w:val="22"/>
          <w:szCs w:val="22"/>
        </w:rPr>
        <w:t>envir</w:t>
      </w:r>
      <w:r w:rsidR="006A3F05">
        <w:rPr>
          <w:sz w:val="22"/>
          <w:szCs w:val="22"/>
        </w:rPr>
        <w:t>onment;</w:t>
      </w:r>
      <w:r w:rsidR="006A3F05" w:rsidRPr="00023A56">
        <w:rPr>
          <w:sz w:val="22"/>
          <w:szCs w:val="22"/>
        </w:rPr>
        <w:t xml:space="preserve"> Stock</w:t>
      </w:r>
      <w:r w:rsidRPr="00023A56">
        <w:rPr>
          <w:sz w:val="22"/>
          <w:szCs w:val="22"/>
        </w:rPr>
        <w:t xml:space="preserve"> markets type</w:t>
      </w:r>
      <w:r>
        <w:rPr>
          <w:sz w:val="22"/>
          <w:szCs w:val="22"/>
        </w:rPr>
        <w:t xml:space="preserve">s and trading arrangements, </w:t>
      </w:r>
      <w:r w:rsidRPr="00023A56">
        <w:rPr>
          <w:sz w:val="22"/>
          <w:szCs w:val="22"/>
        </w:rPr>
        <w:t>Types of s</w:t>
      </w:r>
      <w:r>
        <w:rPr>
          <w:sz w:val="22"/>
          <w:szCs w:val="22"/>
        </w:rPr>
        <w:t xml:space="preserve">ecurities and mutual funds; Market efficiency; Interest </w:t>
      </w:r>
      <w:r w:rsidR="006A3F05">
        <w:rPr>
          <w:sz w:val="22"/>
          <w:szCs w:val="22"/>
        </w:rPr>
        <w:t>rate; Common</w:t>
      </w:r>
      <w:r>
        <w:rPr>
          <w:sz w:val="22"/>
          <w:szCs w:val="22"/>
        </w:rPr>
        <w:t xml:space="preserve"> stock valuation. </w:t>
      </w:r>
      <w:r w:rsidR="006A3F05">
        <w:rPr>
          <w:sz w:val="22"/>
          <w:szCs w:val="22"/>
        </w:rPr>
        <w:t xml:space="preserve"> Bond valuation</w:t>
      </w:r>
      <w:proofErr w:type="gramStart"/>
      <w:r w:rsidR="006A3F05">
        <w:rPr>
          <w:sz w:val="22"/>
          <w:szCs w:val="22"/>
        </w:rPr>
        <w:t xml:space="preserve">; </w:t>
      </w:r>
      <w:r w:rsidRPr="00023A56">
        <w:rPr>
          <w:sz w:val="22"/>
          <w:szCs w:val="22"/>
        </w:rPr>
        <w:t xml:space="preserve"> </w:t>
      </w:r>
      <w:r w:rsidR="006A3F05" w:rsidRPr="00023A56">
        <w:rPr>
          <w:sz w:val="22"/>
          <w:szCs w:val="22"/>
        </w:rPr>
        <w:t>Behavior</w:t>
      </w:r>
      <w:proofErr w:type="gramEnd"/>
      <w:r w:rsidRPr="00023A56">
        <w:rPr>
          <w:sz w:val="22"/>
          <w:szCs w:val="22"/>
        </w:rPr>
        <w:t xml:space="preserve"> Finance and the Psychology of Investing.</w:t>
      </w:r>
    </w:p>
    <w:p w:rsidR="006A3F05" w:rsidRPr="000A65F5" w:rsidRDefault="006A3F05" w:rsidP="006A3F05">
      <w:pPr>
        <w:spacing w:before="100" w:beforeAutospacing="1" w:after="100" w:afterAutospacing="1"/>
        <w:rPr>
          <w:b/>
          <w:bCs/>
        </w:rPr>
      </w:pPr>
      <w:r w:rsidRPr="00E968BC">
        <w:rPr>
          <w:rFonts w:ascii="Arial" w:hAnsi="Arial" w:cs="Arial"/>
          <w:b/>
          <w:bCs/>
        </w:rPr>
        <w:t>I</w:t>
      </w:r>
      <w:r>
        <w:rPr>
          <w:rFonts w:ascii="Arial" w:hAnsi="Arial" w:cs="Arial"/>
          <w:b/>
          <w:bCs/>
        </w:rPr>
        <w:t>I</w:t>
      </w:r>
      <w:r w:rsidRPr="00E968BC">
        <w:rPr>
          <w:rFonts w:ascii="Arial" w:hAnsi="Arial" w:cs="Arial"/>
          <w:b/>
          <w:bCs/>
        </w:rPr>
        <w:t xml:space="preserve">I. </w:t>
      </w:r>
      <w:r w:rsidRPr="000A65F5">
        <w:rPr>
          <w:b/>
          <w:bCs/>
        </w:rPr>
        <w:t>Instructor Expectations</w:t>
      </w:r>
    </w:p>
    <w:p w:rsidR="006A3F05" w:rsidRDefault="006A3F05" w:rsidP="006A3F05">
      <w:pPr>
        <w:numPr>
          <w:ilvl w:val="0"/>
          <w:numId w:val="1"/>
        </w:numPr>
        <w:spacing w:before="100" w:beforeAutospacing="1" w:after="100" w:afterAutospacing="1"/>
        <w:ind w:left="7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Late assignments are not accepted.</w:t>
      </w:r>
    </w:p>
    <w:p w:rsidR="001D5761" w:rsidRDefault="001D5761" w:rsidP="006A3F05">
      <w:pPr>
        <w:numPr>
          <w:ilvl w:val="0"/>
          <w:numId w:val="1"/>
        </w:numPr>
        <w:spacing w:before="100" w:beforeAutospacing="1" w:after="100" w:afterAutospacing="1"/>
        <w:ind w:left="7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Coped homework will </w:t>
      </w:r>
      <w:r w:rsidR="00A5787E">
        <w:rPr>
          <w:rFonts w:ascii="Arial" w:hAnsi="Arial" w:cs="Arial"/>
          <w:sz w:val="20"/>
          <w:szCs w:val="20"/>
        </w:rPr>
        <w:t xml:space="preserve">lead you to </w:t>
      </w:r>
      <w:r w:rsidR="00A5787E" w:rsidRPr="00A5787E">
        <w:rPr>
          <w:rFonts w:ascii="Arial" w:hAnsi="Arial" w:cs="Arial"/>
          <w:b/>
          <w:bCs/>
          <w:sz w:val="20"/>
          <w:szCs w:val="20"/>
        </w:rPr>
        <w:t>FAILLING</w:t>
      </w:r>
      <w:r w:rsidR="00A5787E">
        <w:rPr>
          <w:rFonts w:ascii="Arial" w:hAnsi="Arial" w:cs="Arial"/>
          <w:sz w:val="20"/>
          <w:szCs w:val="20"/>
        </w:rPr>
        <w:t xml:space="preserve"> the course.</w:t>
      </w:r>
    </w:p>
    <w:p w:rsidR="006A3F05" w:rsidRPr="000A65F5" w:rsidRDefault="006A3F05" w:rsidP="006A3F05">
      <w:pPr>
        <w:numPr>
          <w:ilvl w:val="0"/>
          <w:numId w:val="1"/>
        </w:numPr>
        <w:spacing w:before="100" w:beforeAutospacing="1" w:after="100" w:afterAutospacing="1"/>
        <w:ind w:left="7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No makeup Midterms or quizzes are allowed. </w:t>
      </w:r>
    </w:p>
    <w:p w:rsidR="006A3F05" w:rsidRDefault="006A3F05" w:rsidP="006A3F05">
      <w:pPr>
        <w:numPr>
          <w:ilvl w:val="0"/>
          <w:numId w:val="1"/>
        </w:numPr>
        <w:spacing w:before="100" w:beforeAutospacing="1" w:after="100" w:afterAutospacing="1"/>
        <w:ind w:left="795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Finance is a very difficult subject to learn, skipping class is not advised.</w:t>
      </w:r>
    </w:p>
    <w:p w:rsidR="006A3F05" w:rsidRDefault="006A3F05" w:rsidP="006A3F05">
      <w:pPr>
        <w:numPr>
          <w:ilvl w:val="0"/>
          <w:numId w:val="1"/>
        </w:numPr>
        <w:spacing w:before="100" w:beforeAutospacing="1" w:after="100" w:afterAutospacing="1"/>
        <w:ind w:left="795"/>
        <w:rPr>
          <w:rFonts w:ascii="Arial" w:hAnsi="Arial" w:cs="Arial"/>
          <w:sz w:val="20"/>
          <w:szCs w:val="20"/>
        </w:rPr>
      </w:pPr>
      <w:r>
        <w:rPr>
          <w:lang w:val="en-GB"/>
        </w:rPr>
        <w:t>During an exam or a quiz, any cheating stud</w:t>
      </w:r>
      <w:r w:rsidR="00A5787E">
        <w:rPr>
          <w:lang w:val="en-GB"/>
        </w:rPr>
        <w:t xml:space="preserve">ent will receive a grade of </w:t>
      </w:r>
      <w:r w:rsidR="00A5787E" w:rsidRPr="00A5787E">
        <w:rPr>
          <w:b/>
          <w:bCs/>
          <w:lang w:val="en-GB"/>
        </w:rPr>
        <w:t>ZERO</w:t>
      </w:r>
      <w:r>
        <w:rPr>
          <w:lang w:val="en-GB"/>
        </w:rPr>
        <w:t>.</w:t>
      </w:r>
    </w:p>
    <w:p w:rsidR="006A3F05" w:rsidRDefault="006A3F05" w:rsidP="006A3F05">
      <w:pPr>
        <w:numPr>
          <w:ilvl w:val="0"/>
          <w:numId w:val="1"/>
        </w:numPr>
        <w:spacing w:before="100" w:beforeAutospacing="1" w:after="100" w:afterAutospacing="1"/>
        <w:ind w:left="795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Cell phones must be turned off during class. No form of texting is allowed.</w:t>
      </w:r>
    </w:p>
    <w:p w:rsidR="006A3F05" w:rsidRDefault="006A3F05" w:rsidP="006A3F05">
      <w:pPr>
        <w:numPr>
          <w:ilvl w:val="0"/>
          <w:numId w:val="1"/>
        </w:numPr>
        <w:spacing w:before="100" w:beforeAutospacing="1" w:after="100" w:afterAutospacing="1"/>
        <w:ind w:left="79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Any talking or texting in class will lead to a pop quiz.</w:t>
      </w:r>
    </w:p>
    <w:p w:rsidR="00A5787E" w:rsidRDefault="00A5787E" w:rsidP="00A578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</w:rPr>
      </w:pPr>
      <w:r w:rsidRPr="00A5787E">
        <w:rPr>
          <w:rFonts w:ascii="Arial" w:hAnsi="Arial" w:cs="Arial"/>
          <w:b/>
          <w:bCs/>
          <w:sz w:val="22"/>
        </w:rPr>
        <w:t xml:space="preserve">Academic Honesty: </w:t>
      </w:r>
      <w:r w:rsidRPr="00A5787E">
        <w:rPr>
          <w:rFonts w:ascii="Arial" w:hAnsi="Arial" w:cs="Arial"/>
          <w:sz w:val="22"/>
        </w:rPr>
        <w:t xml:space="preserve">Plagiarism, cheating, and other forms of academic dishonesty are </w:t>
      </w:r>
      <w:r w:rsidRPr="00A5787E">
        <w:rPr>
          <w:rFonts w:ascii="Arial" w:hAnsi="Arial" w:cs="Arial"/>
          <w:b/>
          <w:bCs/>
          <w:color w:val="FF0000"/>
          <w:sz w:val="22"/>
        </w:rPr>
        <w:t>prohibited.</w:t>
      </w:r>
      <w:r w:rsidRPr="00A5787E">
        <w:rPr>
          <w:rFonts w:ascii="Arial" w:hAnsi="Arial" w:cs="Arial"/>
          <w:sz w:val="22"/>
        </w:rPr>
        <w:t xml:space="preserve"> This is a zero tolerance policy of </w:t>
      </w:r>
      <w:r>
        <w:rPr>
          <w:rFonts w:ascii="Arial" w:hAnsi="Arial" w:cs="Arial"/>
          <w:sz w:val="22"/>
        </w:rPr>
        <w:t>your instructor</w:t>
      </w:r>
      <w:r w:rsidRPr="00A5787E">
        <w:rPr>
          <w:rFonts w:ascii="Arial" w:hAnsi="Arial" w:cs="Arial"/>
          <w:sz w:val="22"/>
        </w:rPr>
        <w:t>.</w:t>
      </w:r>
    </w:p>
    <w:p w:rsidR="00A5787E" w:rsidRPr="00A5787E" w:rsidRDefault="00A5787E" w:rsidP="00A5787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</w:rPr>
      </w:pPr>
    </w:p>
    <w:p w:rsidR="001D5761" w:rsidRDefault="001D5761" w:rsidP="001D5761">
      <w:pPr>
        <w:jc w:val="both"/>
        <w:rPr>
          <w:rFonts w:ascii="Arial" w:hAnsi="Arial" w:cs="Arial"/>
          <w:sz w:val="22"/>
        </w:rPr>
      </w:pPr>
      <w:r w:rsidRPr="001D5761">
        <w:rPr>
          <w:rFonts w:ascii="Arial" w:hAnsi="Arial" w:cs="Arial"/>
          <w:b/>
          <w:bCs/>
          <w:sz w:val="22"/>
        </w:rPr>
        <w:t>Main Reference:</w:t>
      </w:r>
      <w:r w:rsidRPr="001D5761">
        <w:rPr>
          <w:rFonts w:ascii="Arial" w:hAnsi="Arial" w:cs="Arial"/>
          <w:sz w:val="22"/>
        </w:rPr>
        <w:t xml:space="preserve"> Fundamentals of Investments Valuation and Management 6</w:t>
      </w:r>
      <w:r w:rsidRPr="001D5761">
        <w:rPr>
          <w:rFonts w:ascii="Arial" w:hAnsi="Arial" w:cs="Arial"/>
          <w:sz w:val="22"/>
          <w:vertAlign w:val="superscript"/>
        </w:rPr>
        <w:t>th</w:t>
      </w:r>
      <w:r>
        <w:rPr>
          <w:rFonts w:ascii="Arial" w:hAnsi="Arial" w:cs="Arial"/>
          <w:sz w:val="22"/>
        </w:rPr>
        <w:t xml:space="preserve"> Edition by Jordan and Miller.</w:t>
      </w:r>
    </w:p>
    <w:p w:rsidR="00A5787E" w:rsidRDefault="00A5787E" w:rsidP="001D5761">
      <w:pPr>
        <w:jc w:val="both"/>
        <w:rPr>
          <w:rFonts w:ascii="Arial" w:hAnsi="Arial" w:cs="Arial"/>
          <w:sz w:val="22"/>
        </w:rPr>
      </w:pPr>
    </w:p>
    <w:p w:rsidR="00A5787E" w:rsidRPr="00A5787E" w:rsidRDefault="00A5787E" w:rsidP="00A5787E">
      <w:pPr>
        <w:jc w:val="both"/>
        <w:rPr>
          <w:rFonts w:ascii="Arial" w:hAnsi="Arial" w:cs="Arial"/>
          <w:b/>
          <w:bCs/>
          <w:sz w:val="22"/>
        </w:rPr>
      </w:pPr>
      <w:r w:rsidRPr="00A5787E">
        <w:rPr>
          <w:rFonts w:ascii="Arial" w:hAnsi="Arial" w:cs="Arial"/>
          <w:b/>
          <w:bCs/>
          <w:sz w:val="22"/>
        </w:rPr>
        <w:t>Recommended Websites:</w:t>
      </w:r>
      <w:r>
        <w:rPr>
          <w:rFonts w:ascii="Arial" w:hAnsi="Arial" w:cs="Arial"/>
          <w:b/>
          <w:bCs/>
          <w:sz w:val="22"/>
        </w:rPr>
        <w:t xml:space="preserve"> </w:t>
      </w:r>
      <w:hyperlink r:id="rId6" w:history="1">
        <w:r w:rsidRPr="006F6B1C">
          <w:rPr>
            <w:rStyle w:val="Hyperlink"/>
            <w:rFonts w:ascii="Calibri" w:hAnsi="Calibri"/>
            <w:sz w:val="22"/>
            <w:szCs w:val="22"/>
          </w:rPr>
          <w:t>www.Tadawul.com.sa</w:t>
        </w:r>
      </w:hyperlink>
      <w:r>
        <w:rPr>
          <w:rFonts w:ascii="Calibri" w:hAnsi="Calibri"/>
          <w:sz w:val="22"/>
          <w:szCs w:val="22"/>
        </w:rPr>
        <w:t xml:space="preserve"> </w:t>
      </w:r>
      <w:hyperlink r:id="rId7" w:history="1">
        <w:r w:rsidRPr="006B31EF">
          <w:rPr>
            <w:rStyle w:val="Hyperlink"/>
            <w:rFonts w:ascii="Calibri" w:hAnsi="Calibri"/>
            <w:sz w:val="22"/>
            <w:szCs w:val="22"/>
          </w:rPr>
          <w:t>www.google.com/finance</w:t>
        </w:r>
      </w:hyperlink>
      <w:r>
        <w:rPr>
          <w:rFonts w:ascii="Calibri" w:hAnsi="Calibri"/>
          <w:sz w:val="22"/>
          <w:szCs w:val="22"/>
        </w:rPr>
        <w:t xml:space="preserve">    </w:t>
      </w:r>
      <w:r w:rsidRPr="006B31EF">
        <w:rPr>
          <w:rFonts w:ascii="Calibri" w:hAnsi="Calibri"/>
          <w:sz w:val="22"/>
          <w:szCs w:val="22"/>
        </w:rPr>
        <w:t>www.finance.yahoo.com</w:t>
      </w:r>
    </w:p>
    <w:p w:rsidR="001D5761" w:rsidRDefault="001D5761" w:rsidP="001D5761">
      <w:pPr>
        <w:jc w:val="both"/>
        <w:rPr>
          <w:rFonts w:ascii="Arial" w:hAnsi="Arial" w:cs="Arial"/>
          <w:sz w:val="22"/>
        </w:rPr>
      </w:pPr>
    </w:p>
    <w:p w:rsidR="00A5787E" w:rsidRPr="00A62C0B" w:rsidRDefault="00A5787E" w:rsidP="00A5787E">
      <w:pPr>
        <w:rPr>
          <w:b/>
          <w:bCs/>
        </w:rPr>
      </w:pPr>
      <w:r w:rsidRPr="00A62C0B">
        <w:rPr>
          <w:b/>
          <w:bCs/>
        </w:rPr>
        <w:t xml:space="preserve">Evaluation </w:t>
      </w:r>
    </w:p>
    <w:p w:rsidR="00A5787E" w:rsidRDefault="00A5787E" w:rsidP="00A5787E">
      <w:pPr>
        <w:pStyle w:val="NormalIndent"/>
        <w:tabs>
          <w:tab w:val="left" w:pos="1350"/>
          <w:tab w:val="left" w:pos="4320"/>
          <w:tab w:val="left" w:pos="7200"/>
        </w:tabs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Students will be evaluated based on the following components:</w:t>
      </w:r>
    </w:p>
    <w:p w:rsidR="00A5787E" w:rsidRDefault="00A5787E" w:rsidP="0068512D">
      <w:pPr>
        <w:pStyle w:val="NormalIndent"/>
        <w:tabs>
          <w:tab w:val="left" w:pos="3240"/>
          <w:tab w:val="left" w:pos="7200"/>
        </w:tabs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1.</w:t>
      </w:r>
      <w:r w:rsidR="0068512D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Quizzes    </w:t>
      </w:r>
      <w:r>
        <w:rPr>
          <w:rFonts w:ascii="Times New Roman" w:hAnsi="Times New Roman"/>
          <w:szCs w:val="24"/>
        </w:rPr>
        <w:tab/>
      </w:r>
      <w:r w:rsidR="0068512D">
        <w:rPr>
          <w:rFonts w:ascii="Times New Roman" w:hAnsi="Times New Roman"/>
          <w:szCs w:val="24"/>
        </w:rPr>
        <w:t xml:space="preserve">         </w:t>
      </w:r>
      <w:r>
        <w:rPr>
          <w:rFonts w:ascii="Times New Roman" w:hAnsi="Times New Roman"/>
          <w:szCs w:val="24"/>
        </w:rPr>
        <w:t xml:space="preserve">  </w:t>
      </w:r>
      <w:r w:rsidR="0068512D">
        <w:rPr>
          <w:rFonts w:ascii="Times New Roman" w:hAnsi="Times New Roman"/>
          <w:szCs w:val="24"/>
        </w:rPr>
        <w:t xml:space="preserve">  </w:t>
      </w:r>
      <w:r>
        <w:rPr>
          <w:rFonts w:ascii="Times New Roman" w:hAnsi="Times New Roman"/>
          <w:szCs w:val="24"/>
        </w:rPr>
        <w:t xml:space="preserve">  </w:t>
      </w:r>
      <w:r w:rsidR="0068512D">
        <w:rPr>
          <w:rFonts w:ascii="Times New Roman" w:hAnsi="Times New Roman"/>
          <w:szCs w:val="24"/>
        </w:rPr>
        <w:t>8</w:t>
      </w:r>
      <w:r>
        <w:rPr>
          <w:rFonts w:ascii="Times New Roman" w:hAnsi="Times New Roman"/>
          <w:szCs w:val="24"/>
        </w:rPr>
        <w:t>%</w:t>
      </w:r>
    </w:p>
    <w:p w:rsidR="0068512D" w:rsidRDefault="0068512D" w:rsidP="0068512D">
      <w:pPr>
        <w:pStyle w:val="NormalIndent"/>
        <w:tabs>
          <w:tab w:val="left" w:pos="3240"/>
          <w:tab w:val="left" w:pos="7200"/>
        </w:tabs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 Homework's                                       7%</w:t>
      </w:r>
    </w:p>
    <w:p w:rsidR="00A5787E" w:rsidRDefault="0068512D" w:rsidP="0068512D">
      <w:pPr>
        <w:pStyle w:val="NormalIndent"/>
        <w:tabs>
          <w:tab w:val="left" w:pos="3240"/>
          <w:tab w:val="left" w:pos="7200"/>
        </w:tabs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</w:t>
      </w:r>
      <w:r w:rsidR="00A5787E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Project &amp; Presentation         </w:t>
      </w:r>
      <w:r w:rsidR="00A5787E"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 xml:space="preserve">      </w:t>
      </w:r>
      <w:r w:rsidR="00A5787E">
        <w:rPr>
          <w:rFonts w:ascii="Times New Roman" w:hAnsi="Times New Roman"/>
          <w:szCs w:val="24"/>
        </w:rPr>
        <w:t xml:space="preserve">   </w:t>
      </w:r>
      <w:r>
        <w:rPr>
          <w:rFonts w:ascii="Times New Roman" w:hAnsi="Times New Roman"/>
          <w:szCs w:val="24"/>
        </w:rPr>
        <w:t>10</w:t>
      </w:r>
      <w:r w:rsidR="00A5787E">
        <w:rPr>
          <w:rFonts w:ascii="Times New Roman" w:hAnsi="Times New Roman"/>
          <w:szCs w:val="24"/>
        </w:rPr>
        <w:t>%</w:t>
      </w:r>
    </w:p>
    <w:p w:rsidR="00A5787E" w:rsidRDefault="0068512D" w:rsidP="00A5787E">
      <w:pPr>
        <w:pStyle w:val="NormalIndent"/>
        <w:tabs>
          <w:tab w:val="left" w:pos="3240"/>
          <w:tab w:val="left" w:pos="7200"/>
        </w:tabs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4</w:t>
      </w:r>
      <w:r w:rsidR="00A5787E">
        <w:rPr>
          <w:rFonts w:ascii="Times New Roman" w:hAnsi="Times New Roman"/>
          <w:szCs w:val="24"/>
        </w:rPr>
        <w:t>. Major exams</w:t>
      </w:r>
      <w:r w:rsidR="00A5787E">
        <w:rPr>
          <w:rFonts w:ascii="Times New Roman" w:hAnsi="Times New Roman"/>
          <w:szCs w:val="24"/>
        </w:rPr>
        <w:tab/>
        <w:t xml:space="preserve">              35%</w:t>
      </w:r>
    </w:p>
    <w:p w:rsidR="00A5787E" w:rsidRDefault="0068512D" w:rsidP="00A5787E">
      <w:pPr>
        <w:pStyle w:val="NormalIndent"/>
        <w:tabs>
          <w:tab w:val="left" w:pos="3240"/>
          <w:tab w:val="left" w:pos="7200"/>
        </w:tabs>
        <w:ind w:left="36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5</w:t>
      </w:r>
      <w:r w:rsidR="00A5787E">
        <w:rPr>
          <w:rFonts w:ascii="Times New Roman" w:hAnsi="Times New Roman"/>
          <w:szCs w:val="24"/>
        </w:rPr>
        <w:t xml:space="preserve">. Final exam </w:t>
      </w:r>
      <w:r w:rsidR="00A5787E">
        <w:rPr>
          <w:rFonts w:ascii="Times New Roman" w:hAnsi="Times New Roman"/>
          <w:szCs w:val="24"/>
        </w:rPr>
        <w:tab/>
        <w:t xml:space="preserve">              40%</w:t>
      </w:r>
    </w:p>
    <w:p w:rsidR="001D5761" w:rsidRDefault="001D5761" w:rsidP="001D5761">
      <w:pPr>
        <w:spacing w:before="100" w:beforeAutospacing="1" w:after="100" w:afterAutospacing="1"/>
        <w:rPr>
          <w:rFonts w:ascii="Arial" w:hAnsi="Arial" w:cs="Arial"/>
          <w:sz w:val="22"/>
        </w:rPr>
      </w:pPr>
    </w:p>
    <w:p w:rsidR="0068512D" w:rsidRDefault="0068512D" w:rsidP="001D5761">
      <w:pPr>
        <w:spacing w:before="100" w:beforeAutospacing="1" w:after="100" w:afterAutospacing="1"/>
        <w:rPr>
          <w:rFonts w:ascii="Arial" w:hAnsi="Arial" w:cs="Arial"/>
          <w:sz w:val="22"/>
        </w:rPr>
      </w:pPr>
    </w:p>
    <w:p w:rsidR="0068512D" w:rsidRPr="00A62C0B" w:rsidRDefault="0068512D" w:rsidP="0068512D">
      <w:pPr>
        <w:pStyle w:val="ListParagraph"/>
        <w:spacing w:before="100" w:beforeAutospacing="1" w:after="100" w:afterAutospacing="1"/>
        <w:rPr>
          <w:rFonts w:ascii="Arial" w:hAnsi="Arial" w:cs="Arial"/>
          <w:sz w:val="20"/>
          <w:szCs w:val="20"/>
        </w:rPr>
      </w:pPr>
      <w:proofErr w:type="gramStart"/>
      <w:r>
        <w:rPr>
          <w:b/>
        </w:rPr>
        <w:lastRenderedPageBreak/>
        <w:t>Schedule :</w:t>
      </w:r>
      <w:proofErr w:type="gramEnd"/>
    </w:p>
    <w:tbl>
      <w:tblPr>
        <w:tblW w:w="8145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6"/>
        <w:gridCol w:w="5642"/>
        <w:gridCol w:w="1417"/>
      </w:tblGrid>
      <w:tr w:rsidR="0068512D" w:rsidTr="00465AFB">
        <w:trPr>
          <w:trHeight w:val="48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68512D" w:rsidRPr="00CA171B" w:rsidRDefault="0068512D" w:rsidP="00AD50A0">
            <w:pPr>
              <w:pStyle w:val="Heading4"/>
              <w:rPr>
                <w:rFonts w:ascii="Times New Roman" w:hAnsi="Times New Roman" w:cs="Times New Roman"/>
                <w:i w:val="0"/>
                <w:iCs w:val="0"/>
                <w:color w:val="auto"/>
              </w:rPr>
            </w:pPr>
            <w:r>
              <w:rPr>
                <w:rFonts w:ascii="Times New Roman" w:hAnsi="Times New Roman" w:cs="Times New Roman"/>
                <w:i w:val="0"/>
                <w:iCs w:val="0"/>
                <w:color w:val="auto"/>
              </w:rPr>
              <w:t xml:space="preserve"> </w:t>
            </w:r>
            <w:r w:rsidRPr="00CA171B">
              <w:rPr>
                <w:rFonts w:ascii="Times New Roman" w:hAnsi="Times New Roman" w:cs="Times New Roman"/>
                <w:i w:val="0"/>
                <w:iCs w:val="0"/>
                <w:color w:val="auto"/>
              </w:rPr>
              <w:t>WEEK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:rsidR="0068512D" w:rsidRDefault="0068512D" w:rsidP="00AD50A0">
            <w:pPr>
              <w:pStyle w:val="Heading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68512D" w:rsidRDefault="0068512D" w:rsidP="00AD50A0">
            <w:pPr>
              <w:pStyle w:val="Heading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CHAPTER(S)</w:t>
            </w:r>
          </w:p>
        </w:tc>
      </w:tr>
      <w:tr w:rsidR="0068512D" w:rsidTr="00465AFB">
        <w:trPr>
          <w:trHeight w:val="555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68512D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Pr="00465AFB" w:rsidRDefault="0068512D" w:rsidP="0068512D">
            <w:pPr>
              <w:autoSpaceDE w:val="0"/>
              <w:autoSpaceDN w:val="0"/>
              <w:adjustRightInd w:val="0"/>
              <w:jc w:val="lowKashida"/>
            </w:pPr>
            <w:r w:rsidRPr="00465AFB">
              <w:t>Overview of Security Types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2D" w:rsidRDefault="0068512D" w:rsidP="00AD50A0">
            <w:pPr>
              <w:jc w:val="center"/>
            </w:pPr>
          </w:p>
          <w:p w:rsidR="0068512D" w:rsidRDefault="0068512D" w:rsidP="00AD50A0">
            <w:pPr>
              <w:jc w:val="center"/>
            </w:pPr>
            <w:r>
              <w:t>3</w:t>
            </w:r>
          </w:p>
        </w:tc>
      </w:tr>
      <w:tr w:rsidR="00465AFB" w:rsidTr="00465AFB">
        <w:trPr>
          <w:trHeight w:val="555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FB" w:rsidRDefault="00465AFB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FB" w:rsidRPr="00465AFB" w:rsidRDefault="00465AFB" w:rsidP="00465AFB">
            <w:pPr>
              <w:autoSpaceDE w:val="0"/>
              <w:autoSpaceDN w:val="0"/>
              <w:adjustRightInd w:val="0"/>
              <w:jc w:val="lowKashida"/>
            </w:pPr>
            <w:r w:rsidRPr="00465AFB">
              <w:t>Buying/Selling Securities and Stock Market Types</w:t>
            </w:r>
          </w:p>
          <w:p w:rsidR="00465AFB" w:rsidRPr="00465AFB" w:rsidRDefault="00465AFB" w:rsidP="0068512D">
            <w:pPr>
              <w:autoSpaceDE w:val="0"/>
              <w:autoSpaceDN w:val="0"/>
              <w:adjustRightInd w:val="0"/>
              <w:jc w:val="lowKashida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FB" w:rsidRDefault="00465AFB" w:rsidP="00AD50A0">
            <w:pPr>
              <w:jc w:val="center"/>
            </w:pPr>
            <w:r>
              <w:t>2</w:t>
            </w:r>
          </w:p>
        </w:tc>
      </w:tr>
      <w:tr w:rsidR="0068512D" w:rsidTr="00465AFB">
        <w:trPr>
          <w:trHeight w:val="573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68512D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2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Pr="00465AFB" w:rsidRDefault="00465AFB" w:rsidP="00465AFB">
            <w:pPr>
              <w:autoSpaceDE w:val="0"/>
              <w:autoSpaceDN w:val="0"/>
              <w:adjustRightInd w:val="0"/>
              <w:jc w:val="lowKashida"/>
            </w:pPr>
            <w:r w:rsidRPr="00465AFB">
              <w:t>A Brief History of Risk and Return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2D" w:rsidRDefault="00465AFB" w:rsidP="00AD50A0">
            <w:pPr>
              <w:jc w:val="center"/>
            </w:pPr>
            <w:r>
              <w:t>1</w:t>
            </w:r>
          </w:p>
        </w:tc>
      </w:tr>
      <w:tr w:rsidR="00465AFB" w:rsidTr="00465AFB">
        <w:trPr>
          <w:trHeight w:val="573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FB" w:rsidRDefault="00465AFB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3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FB" w:rsidRPr="00465AFB" w:rsidRDefault="00465AFB" w:rsidP="00465AFB">
            <w:pPr>
              <w:autoSpaceDE w:val="0"/>
              <w:autoSpaceDN w:val="0"/>
              <w:adjustRightInd w:val="0"/>
              <w:jc w:val="lowKashida"/>
            </w:pPr>
            <w:r w:rsidRPr="00465AFB">
              <w:t>A Brief History of Risk and Return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FB" w:rsidRDefault="00465AFB" w:rsidP="00AD50A0">
            <w:pPr>
              <w:jc w:val="center"/>
            </w:pPr>
            <w:r>
              <w:t>1</w:t>
            </w:r>
          </w:p>
        </w:tc>
      </w:tr>
      <w:tr w:rsidR="0068512D" w:rsidTr="00465AFB">
        <w:trPr>
          <w:trHeight w:val="59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68512D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3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465AFB" w:rsidP="00465AFB">
            <w:pPr>
              <w:autoSpaceDE w:val="0"/>
              <w:autoSpaceDN w:val="0"/>
              <w:adjustRightInd w:val="0"/>
              <w:ind w:left="108" w:hanging="108"/>
            </w:pPr>
            <w:r>
              <w:t>Stock Market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2D" w:rsidRDefault="0068512D" w:rsidP="00465AFB">
            <w:pPr>
              <w:jc w:val="center"/>
            </w:pPr>
            <w:r>
              <w:t xml:space="preserve">5 </w:t>
            </w:r>
          </w:p>
        </w:tc>
      </w:tr>
      <w:tr w:rsidR="0068512D" w:rsidTr="00465AFB">
        <w:trPr>
          <w:trHeight w:val="573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68512D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4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Pr="00F9400A" w:rsidRDefault="00465AFB" w:rsidP="00AD50A0">
            <w:pPr>
              <w:autoSpaceDE w:val="0"/>
              <w:autoSpaceDN w:val="0"/>
              <w:adjustRightInd w:val="0"/>
              <w:ind w:left="108" w:hanging="108"/>
            </w:pPr>
            <w:r>
              <w:t>Common Stock Valuation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2D" w:rsidRDefault="0068512D" w:rsidP="00AD50A0">
            <w:pPr>
              <w:jc w:val="center"/>
            </w:pPr>
            <w:r>
              <w:t>6</w:t>
            </w:r>
          </w:p>
        </w:tc>
      </w:tr>
      <w:tr w:rsidR="00465AFB" w:rsidTr="00465AFB">
        <w:trPr>
          <w:trHeight w:val="573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FB" w:rsidRDefault="00465AFB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5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FB" w:rsidRDefault="00465AFB" w:rsidP="00AD50A0">
            <w:pPr>
              <w:autoSpaceDE w:val="0"/>
              <w:autoSpaceDN w:val="0"/>
              <w:adjustRightInd w:val="0"/>
              <w:ind w:left="108" w:hanging="108"/>
            </w:pPr>
            <w:r>
              <w:t>Common Stock Valuation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AFB" w:rsidRDefault="00465AFB" w:rsidP="00AD50A0">
            <w:pPr>
              <w:jc w:val="center"/>
            </w:pPr>
            <w:r>
              <w:t>6</w:t>
            </w:r>
          </w:p>
        </w:tc>
      </w:tr>
      <w:tr w:rsidR="0068512D" w:rsidTr="00465AFB">
        <w:trPr>
          <w:trHeight w:val="573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465AFB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6</w:t>
            </w:r>
            <w:r w:rsidR="0068512D">
              <w:rPr>
                <w:b/>
                <w:bCs/>
                <w:lang w:val="ms-MY"/>
              </w:rPr>
              <w:t xml:space="preserve"> 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FB" w:rsidRPr="00465AFB" w:rsidRDefault="00465AFB" w:rsidP="00465AFB">
            <w:pPr>
              <w:autoSpaceDE w:val="0"/>
              <w:autoSpaceDN w:val="0"/>
              <w:adjustRightInd w:val="0"/>
              <w:jc w:val="lowKashida"/>
            </w:pPr>
            <w:r w:rsidRPr="00465AFB">
              <w:t>Stock Price Behavior and Market Efficiency Overview</w:t>
            </w:r>
          </w:p>
          <w:p w:rsidR="0068512D" w:rsidRPr="00F9400A" w:rsidRDefault="0068512D" w:rsidP="00AD50A0">
            <w:pPr>
              <w:autoSpaceDE w:val="0"/>
              <w:autoSpaceDN w:val="0"/>
              <w:adjustRightInd w:val="0"/>
              <w:ind w:left="108" w:hanging="108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2D" w:rsidRDefault="0068512D" w:rsidP="00AD50A0">
            <w:pPr>
              <w:jc w:val="center"/>
            </w:pPr>
            <w:r>
              <w:t>7</w:t>
            </w:r>
          </w:p>
        </w:tc>
      </w:tr>
      <w:tr w:rsidR="0068512D" w:rsidTr="00465AFB">
        <w:trPr>
          <w:trHeight w:val="51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465AFB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7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Pr="00F9400A" w:rsidRDefault="00465AFB" w:rsidP="00AD50A0">
            <w:pPr>
              <w:autoSpaceDE w:val="0"/>
              <w:autoSpaceDN w:val="0"/>
              <w:adjustRightInd w:val="0"/>
              <w:ind w:left="108" w:hanging="108"/>
            </w:pPr>
            <w:r>
              <w:t>Bond Prices and Yields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12D" w:rsidRDefault="00465AFB" w:rsidP="00AD50A0">
            <w:pPr>
              <w:jc w:val="center"/>
            </w:pPr>
            <w:r>
              <w:t>10</w:t>
            </w:r>
          </w:p>
        </w:tc>
      </w:tr>
      <w:tr w:rsidR="00465AFB" w:rsidTr="00465AFB">
        <w:trPr>
          <w:trHeight w:val="516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FB" w:rsidRDefault="00465AFB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8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AFB" w:rsidRDefault="00465AFB" w:rsidP="00AD50A0">
            <w:pPr>
              <w:autoSpaceDE w:val="0"/>
              <w:autoSpaceDN w:val="0"/>
              <w:adjustRightInd w:val="0"/>
              <w:ind w:left="108" w:hanging="108"/>
            </w:pPr>
            <w:r>
              <w:t>Bond Prices and Yields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FB" w:rsidRDefault="00465AFB" w:rsidP="00AD50A0">
            <w:pPr>
              <w:jc w:val="center"/>
            </w:pPr>
            <w:r>
              <w:t>10</w:t>
            </w:r>
          </w:p>
        </w:tc>
      </w:tr>
      <w:tr w:rsidR="0068512D" w:rsidTr="00465AFB">
        <w:trPr>
          <w:trHeight w:val="555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465AFB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9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A97" w:rsidRPr="00805A97" w:rsidRDefault="0068512D" w:rsidP="00805A97">
            <w:pPr>
              <w:autoSpaceDE w:val="0"/>
              <w:autoSpaceDN w:val="0"/>
              <w:adjustRightInd w:val="0"/>
              <w:jc w:val="lowKashida"/>
            </w:pPr>
            <w:r>
              <w:rPr>
                <w:color w:val="000000"/>
                <w:spacing w:val="1"/>
              </w:rPr>
              <w:t xml:space="preserve"> </w:t>
            </w:r>
            <w:r w:rsidR="00805A97" w:rsidRPr="00805A97">
              <w:t>Behaviora</w:t>
            </w:r>
            <w:r w:rsidR="00805A97">
              <w:t>l</w:t>
            </w:r>
            <w:r w:rsidR="00805A97" w:rsidRPr="00805A97">
              <w:t xml:space="preserve"> Finance and the Psychology of Investing</w:t>
            </w:r>
          </w:p>
          <w:p w:rsidR="0068512D" w:rsidRPr="00F9400A" w:rsidRDefault="0068512D" w:rsidP="00805A97">
            <w:pPr>
              <w:autoSpaceDE w:val="0"/>
              <w:autoSpaceDN w:val="0"/>
              <w:adjustRightInd w:val="0"/>
              <w:ind w:hanging="108"/>
              <w:rPr>
                <w:color w:val="000000"/>
                <w:spacing w:val="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2D" w:rsidRDefault="00805A97" w:rsidP="00AD50A0">
            <w:pPr>
              <w:jc w:val="center"/>
            </w:pPr>
            <w:r>
              <w:t>8</w:t>
            </w:r>
          </w:p>
          <w:p w:rsidR="0068512D" w:rsidRDefault="0068512D" w:rsidP="00AD50A0"/>
        </w:tc>
      </w:tr>
      <w:tr w:rsidR="0068512D" w:rsidTr="00465AFB">
        <w:trPr>
          <w:trHeight w:val="408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465AFB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10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Pr="00F9400A" w:rsidRDefault="00805A97" w:rsidP="00465AFB">
            <w:pPr>
              <w:tabs>
                <w:tab w:val="left" w:pos="-720"/>
              </w:tabs>
              <w:suppressAutoHyphens/>
              <w:spacing w:line="240" w:lineRule="atLeast"/>
              <w:ind w:left="252" w:hanging="360"/>
            </w:pPr>
            <w:r>
              <w:t xml:space="preserve"> Mutual Funds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2D" w:rsidRDefault="00805A97" w:rsidP="00805A97">
            <w:pPr>
              <w:jc w:val="center"/>
            </w:pPr>
            <w:r>
              <w:t>4</w:t>
            </w:r>
          </w:p>
        </w:tc>
      </w:tr>
      <w:tr w:rsidR="0068512D" w:rsidTr="00805A97">
        <w:trPr>
          <w:trHeight w:val="555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12D" w:rsidRDefault="0068512D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>11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Pr="00C809C7" w:rsidRDefault="00465AFB" w:rsidP="00465AFB">
            <w:pPr>
              <w:tabs>
                <w:tab w:val="left" w:pos="-720"/>
              </w:tabs>
              <w:suppressAutoHyphens/>
              <w:spacing w:line="240" w:lineRule="atLeast"/>
              <w:ind w:left="252" w:hanging="360"/>
              <w:jc w:val="center"/>
            </w:pPr>
            <w:r>
              <w:t>Presentations Week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2D" w:rsidRPr="00C809C7" w:rsidRDefault="0068512D" w:rsidP="00AD50A0">
            <w:pPr>
              <w:jc w:val="center"/>
              <w:rPr>
                <w:bCs/>
              </w:rPr>
            </w:pPr>
          </w:p>
        </w:tc>
      </w:tr>
      <w:tr w:rsidR="0068512D" w:rsidTr="00805A97">
        <w:trPr>
          <w:trHeight w:val="421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68512D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 xml:space="preserve">12 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Pr="00805A97" w:rsidRDefault="0068512D" w:rsidP="00AD50A0">
            <w:pPr>
              <w:autoSpaceDE w:val="0"/>
              <w:autoSpaceDN w:val="0"/>
              <w:adjustRightInd w:val="0"/>
              <w:ind w:hanging="108"/>
              <w:jc w:val="center"/>
            </w:pPr>
            <w:r w:rsidRPr="00805A97">
              <w:t>Revision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2D" w:rsidRDefault="0068512D" w:rsidP="00AD50A0">
            <w:pPr>
              <w:jc w:val="center"/>
            </w:pPr>
          </w:p>
        </w:tc>
      </w:tr>
      <w:tr w:rsidR="0068512D" w:rsidTr="00465AFB"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68512D" w:rsidP="00AD50A0">
            <w:pPr>
              <w:jc w:val="center"/>
              <w:rPr>
                <w:b/>
                <w:bCs/>
                <w:lang w:val="ms-MY"/>
              </w:rPr>
            </w:pP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512D" w:rsidRDefault="0068512D" w:rsidP="00AD50A0">
            <w:pPr>
              <w:autoSpaceDE w:val="0"/>
              <w:autoSpaceDN w:val="0"/>
              <w:adjustRightInd w:val="0"/>
              <w:ind w:hanging="108"/>
              <w:rPr>
                <w:color w:val="000000"/>
                <w:spacing w:val="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12D" w:rsidRDefault="0068512D" w:rsidP="00AD50A0">
            <w:pPr>
              <w:jc w:val="center"/>
            </w:pPr>
          </w:p>
        </w:tc>
      </w:tr>
      <w:tr w:rsidR="0068512D" w:rsidTr="00805A97">
        <w:trPr>
          <w:trHeight w:val="540"/>
        </w:trPr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8512D" w:rsidRDefault="0068512D" w:rsidP="00AD50A0">
            <w:pPr>
              <w:jc w:val="center"/>
              <w:rPr>
                <w:b/>
                <w:bCs/>
                <w:lang w:val="ms-MY"/>
              </w:rPr>
            </w:pPr>
            <w:r>
              <w:rPr>
                <w:b/>
                <w:bCs/>
                <w:lang w:val="ms-MY"/>
              </w:rPr>
              <w:t xml:space="preserve"> </w:t>
            </w:r>
          </w:p>
        </w:tc>
        <w:tc>
          <w:tcPr>
            <w:tcW w:w="5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:rsidR="0068512D" w:rsidRDefault="0068512D" w:rsidP="00AD50A0">
            <w:pPr>
              <w:jc w:val="center"/>
              <w:rPr>
                <w:b/>
              </w:rPr>
            </w:pPr>
            <w:r>
              <w:rPr>
                <w:b/>
              </w:rPr>
              <w:t>FINAL EXAM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hideMark/>
          </w:tcPr>
          <w:p w:rsidR="0068512D" w:rsidRDefault="0068512D" w:rsidP="00AD50A0">
            <w:pPr>
              <w:jc w:val="center"/>
              <w:rPr>
                <w:b/>
                <w:bCs/>
                <w:lang w:val="ms-MY"/>
              </w:rPr>
            </w:pPr>
          </w:p>
        </w:tc>
      </w:tr>
    </w:tbl>
    <w:p w:rsidR="0068512D" w:rsidRPr="001D5761" w:rsidRDefault="0068512D" w:rsidP="001D5761">
      <w:pPr>
        <w:spacing w:before="100" w:beforeAutospacing="1" w:after="100" w:afterAutospacing="1"/>
        <w:rPr>
          <w:rFonts w:ascii="Arial" w:hAnsi="Arial" w:cs="Arial"/>
          <w:sz w:val="20"/>
          <w:szCs w:val="20"/>
        </w:rPr>
      </w:pPr>
    </w:p>
    <w:p w:rsidR="006A3F05" w:rsidRPr="001A452E" w:rsidRDefault="006A3F05" w:rsidP="001A452E">
      <w:pPr>
        <w:tabs>
          <w:tab w:val="left" w:pos="0"/>
        </w:tabs>
        <w:suppressAutoHyphens/>
        <w:jc w:val="both"/>
        <w:rPr>
          <w:rFonts w:ascii="Arial" w:hAnsi="Arial" w:cs="Arial" w:hint="cs"/>
          <w:sz w:val="22"/>
        </w:rPr>
      </w:pPr>
    </w:p>
    <w:sectPr w:rsidR="006A3F05" w:rsidRPr="001A452E" w:rsidSect="001D5761">
      <w:pgSz w:w="11906" w:h="16838"/>
      <w:pgMar w:top="1440" w:right="1274" w:bottom="1440" w:left="993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AB324F"/>
    <w:multiLevelType w:val="multilevel"/>
    <w:tmpl w:val="68BC5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05F98"/>
    <w:rsid w:val="001A452E"/>
    <w:rsid w:val="001D5761"/>
    <w:rsid w:val="002F2B06"/>
    <w:rsid w:val="003105DD"/>
    <w:rsid w:val="00343112"/>
    <w:rsid w:val="00465AFB"/>
    <w:rsid w:val="0068512D"/>
    <w:rsid w:val="006A3F05"/>
    <w:rsid w:val="00805A97"/>
    <w:rsid w:val="00A05F98"/>
    <w:rsid w:val="00A5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05F98"/>
    <w:pPr>
      <w:keepNext/>
      <w:jc w:val="center"/>
      <w:outlineLvl w:val="0"/>
    </w:pPr>
    <w:rPr>
      <w:rFonts w:ascii="Arial" w:hAnsi="Arial" w:cs="Arial"/>
      <w:b/>
      <w:bCs/>
      <w:sz w:val="22"/>
    </w:rPr>
  </w:style>
  <w:style w:type="paragraph" w:styleId="Heading2">
    <w:name w:val="heading 2"/>
    <w:basedOn w:val="Normal"/>
    <w:next w:val="Normal"/>
    <w:link w:val="Heading2Char"/>
    <w:unhideWhenUsed/>
    <w:qFormat/>
    <w:rsid w:val="00A05F98"/>
    <w:pPr>
      <w:keepNext/>
      <w:jc w:val="center"/>
      <w:outlineLvl w:val="1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512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5787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68512D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05F98"/>
    <w:rPr>
      <w:rFonts w:ascii="Arial" w:eastAsia="Times New Roman" w:hAnsi="Arial" w:cs="Arial"/>
      <w:b/>
      <w:bCs/>
      <w:szCs w:val="24"/>
    </w:rPr>
  </w:style>
  <w:style w:type="character" w:customStyle="1" w:styleId="Heading2Char">
    <w:name w:val="Heading 2 Char"/>
    <w:basedOn w:val="DefaultParagraphFont"/>
    <w:link w:val="Heading2"/>
    <w:rsid w:val="00A05F98"/>
    <w:rPr>
      <w:rFonts w:ascii="Arial" w:eastAsia="Times New Roman" w:hAnsi="Arial" w:cs="Arial"/>
      <w:b/>
      <w:bCs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5F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D5761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A5787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ormalIndentChar">
    <w:name w:val="Normal Indent Char"/>
    <w:link w:val="NormalIndent"/>
    <w:semiHidden/>
    <w:locked/>
    <w:rsid w:val="00A5787E"/>
    <w:rPr>
      <w:rFonts w:ascii="Times" w:hAnsi="Times" w:cs="Times"/>
      <w:sz w:val="24"/>
    </w:rPr>
  </w:style>
  <w:style w:type="paragraph" w:styleId="NormalIndent">
    <w:name w:val="Normal Indent"/>
    <w:basedOn w:val="Normal"/>
    <w:link w:val="NormalIndentChar"/>
    <w:semiHidden/>
    <w:unhideWhenUsed/>
    <w:rsid w:val="00A5787E"/>
    <w:pPr>
      <w:ind w:left="720"/>
    </w:pPr>
    <w:rPr>
      <w:rFonts w:ascii="Times" w:eastAsiaTheme="minorHAnsi" w:hAnsi="Times" w:cs="Times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68512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68512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oogle.com/financ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adawul.com.sa" TargetMode="External"/><Relationship Id="rId5" Type="http://schemas.openxmlformats.org/officeDocument/2006/relationships/hyperlink" Target="mailto:Ghalarifi@ksu.edu.s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1</cp:revision>
  <dcterms:created xsi:type="dcterms:W3CDTF">2012-09-04T15:44:00Z</dcterms:created>
  <dcterms:modified xsi:type="dcterms:W3CDTF">2012-09-04T17:10:00Z</dcterms:modified>
</cp:coreProperties>
</file>