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3C" w:rsidRPr="00F94734" w:rsidRDefault="0065573C" w:rsidP="00C33684">
      <w:pPr>
        <w:autoSpaceDE w:val="0"/>
        <w:autoSpaceDN w:val="0"/>
        <w:adjustRightInd w:val="0"/>
        <w:spacing w:after="0" w:line="240" w:lineRule="auto"/>
        <w:jc w:val="center"/>
        <w:rPr>
          <w:rFonts w:ascii="Andalus" w:hAnsi="Andalus" w:cs="Andalus"/>
          <w:b/>
          <w:bCs/>
          <w:color w:val="365F91" w:themeColor="accent1" w:themeShade="BF"/>
          <w:sz w:val="36"/>
          <w:szCs w:val="36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36"/>
          <w:szCs w:val="36"/>
        </w:rPr>
        <w:t>Vocabulary</w:t>
      </w:r>
      <w:r w:rsidR="00C33684" w:rsidRPr="00F94734">
        <w:rPr>
          <w:rFonts w:ascii="Andalus" w:hAnsi="Andalus" w:cs="Andalus"/>
          <w:b/>
          <w:bCs/>
          <w:color w:val="365F91" w:themeColor="accent1" w:themeShade="BF"/>
          <w:sz w:val="36"/>
          <w:szCs w:val="36"/>
        </w:rPr>
        <w:t xml:space="preserve"> II</w:t>
      </w:r>
    </w:p>
    <w:p w:rsidR="00C33684" w:rsidRDefault="00C33684" w:rsidP="00655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573C" w:rsidRPr="00F94734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  <w:t>Description</w:t>
      </w: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9A0405">
        <w:rPr>
          <w:rFonts w:ascii="Andalus" w:hAnsi="Andalus" w:cs="Andalus"/>
          <w:color w:val="000000"/>
          <w:sz w:val="28"/>
          <w:szCs w:val="28"/>
        </w:rPr>
        <w:t xml:space="preserve">Course number &amp; Code: </w:t>
      </w:r>
      <w:r w:rsidRPr="009A0405">
        <w:rPr>
          <w:rFonts w:ascii="Andalus" w:hAnsi="Andalus" w:cs="Andalus"/>
          <w:b/>
          <w:bCs/>
          <w:color w:val="000000"/>
          <w:sz w:val="28"/>
          <w:szCs w:val="28"/>
        </w:rPr>
        <w:t>Najd 182</w:t>
      </w: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9A0405">
        <w:rPr>
          <w:rFonts w:ascii="Andalus" w:hAnsi="Andalus" w:cs="Andalus"/>
          <w:color w:val="000000"/>
          <w:sz w:val="28"/>
          <w:szCs w:val="28"/>
        </w:rPr>
        <w:t>Course title</w:t>
      </w:r>
      <w:r w:rsidRPr="009A0405">
        <w:rPr>
          <w:rFonts w:ascii="Andalus" w:hAnsi="Andalus" w:cs="Andalus"/>
          <w:b/>
          <w:bCs/>
          <w:color w:val="000000"/>
          <w:sz w:val="28"/>
          <w:szCs w:val="28"/>
        </w:rPr>
        <w:t xml:space="preserve">: Vocabulary 2 </w:t>
      </w:r>
      <w:r w:rsidRPr="009A0405">
        <w:rPr>
          <w:rFonts w:ascii="Andalus" w:hAnsi="Andalus" w:cs="Andalus"/>
          <w:color w:val="000000"/>
          <w:sz w:val="28"/>
          <w:szCs w:val="28"/>
        </w:rPr>
        <w:t>/ Contact hours: 2</w:t>
      </w: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9A0405">
        <w:rPr>
          <w:rFonts w:ascii="Andalus" w:hAnsi="Andalus" w:cs="Andalus"/>
          <w:color w:val="000000"/>
          <w:sz w:val="28"/>
          <w:szCs w:val="28"/>
        </w:rPr>
        <w:t>(Prerequisite: Vocabulary 1)</w:t>
      </w:r>
    </w:p>
    <w:p w:rsidR="00C33684" w:rsidRPr="009A0405" w:rsidRDefault="00C33684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i/>
          <w:iCs/>
          <w:color w:val="000000"/>
          <w:sz w:val="28"/>
          <w:szCs w:val="28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  <w:t>Textbook:</w:t>
      </w:r>
      <w:r w:rsidRPr="009A0405">
        <w:rPr>
          <w:rFonts w:ascii="Andalus" w:hAnsi="Andalus" w:cs="Andalus"/>
          <w:color w:val="000000"/>
          <w:sz w:val="28"/>
          <w:szCs w:val="28"/>
        </w:rPr>
        <w:t xml:space="preserve"> M. McCarthy and F. O’Dell, </w:t>
      </w:r>
      <w:r w:rsidRPr="009A0405">
        <w:rPr>
          <w:rFonts w:ascii="Andalus" w:hAnsi="Andalus" w:cs="Andalus"/>
          <w:i/>
          <w:iCs/>
          <w:color w:val="000000"/>
          <w:sz w:val="28"/>
          <w:szCs w:val="28"/>
        </w:rPr>
        <w:t>English Vocabulary in</w:t>
      </w: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9A0405">
        <w:rPr>
          <w:rFonts w:ascii="Andalus" w:hAnsi="Andalus" w:cs="Andalus"/>
          <w:i/>
          <w:iCs/>
          <w:color w:val="000000"/>
          <w:sz w:val="28"/>
          <w:szCs w:val="28"/>
        </w:rPr>
        <w:t xml:space="preserve">Use: Upper-intermediate, </w:t>
      </w:r>
      <w:r w:rsidRPr="009A0405">
        <w:rPr>
          <w:rFonts w:ascii="Andalus" w:hAnsi="Andalus" w:cs="Andalus"/>
          <w:color w:val="000000"/>
          <w:sz w:val="28"/>
          <w:szCs w:val="28"/>
        </w:rPr>
        <w:t>New Edition</w:t>
      </w:r>
    </w:p>
    <w:p w:rsidR="0065573C" w:rsidRPr="009A0405" w:rsidRDefault="0065573C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i/>
          <w:iCs/>
          <w:color w:val="000000"/>
          <w:sz w:val="28"/>
          <w:szCs w:val="28"/>
        </w:rPr>
      </w:pPr>
      <w:r w:rsidRPr="009A0405">
        <w:rPr>
          <w:rFonts w:ascii="Andalus" w:hAnsi="Andalus" w:cs="Andalus"/>
          <w:i/>
          <w:iCs/>
          <w:color w:val="000000"/>
          <w:sz w:val="28"/>
          <w:szCs w:val="28"/>
        </w:rPr>
        <w:t>2003.</w:t>
      </w:r>
    </w:p>
    <w:p w:rsidR="00C33684" w:rsidRPr="009A0405" w:rsidRDefault="00C33684" w:rsidP="0065573C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</w:p>
    <w:p w:rsidR="009A0405" w:rsidRPr="00F94734" w:rsidRDefault="0065573C" w:rsidP="009A0405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  <w:t>Content and Objectives</w:t>
      </w:r>
    </w:p>
    <w:p w:rsidR="0065573C" w:rsidRPr="009A0405" w:rsidRDefault="0065573C" w:rsidP="009A0405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color w:val="000000"/>
          <w:sz w:val="28"/>
          <w:szCs w:val="28"/>
        </w:rPr>
      </w:pPr>
      <w:r w:rsidRPr="009A0405">
        <w:rPr>
          <w:rFonts w:ascii="Andalus" w:hAnsi="Andalus" w:cs="Andalus"/>
          <w:color w:val="000000"/>
          <w:sz w:val="28"/>
          <w:szCs w:val="28"/>
        </w:rPr>
        <w:t>Vocabulary Two builds on the vocabulary One course. I</w:t>
      </w:r>
      <w:r w:rsidR="00C33684" w:rsidRPr="009A0405">
        <w:rPr>
          <w:rFonts w:ascii="Andalus" w:hAnsi="Andalus" w:cs="Andalus"/>
          <w:color w:val="000000"/>
          <w:sz w:val="28"/>
          <w:szCs w:val="28"/>
        </w:rPr>
        <w:t xml:space="preserve">t draws attention to words that </w:t>
      </w:r>
      <w:r w:rsidRPr="009A0405">
        <w:rPr>
          <w:rFonts w:ascii="Andalus" w:hAnsi="Andalus" w:cs="Andalus"/>
          <w:color w:val="000000"/>
          <w:sz w:val="28"/>
          <w:szCs w:val="28"/>
        </w:rPr>
        <w:t>are</w:t>
      </w:r>
      <w:r w:rsidR="00C33684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commonly mispronounced, some common words and expressions that have entered the</w:t>
      </w:r>
      <w:r w:rsidR="00C33684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English language, and some frequent metaphors, similes, idiomatic expressions, and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proverbs. The course includes common functions and notions. It draws attention to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degrees of formality in language use. The course aims at improving students’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pronunciation of sounds and words in English. It also s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eeks to enrich their vocabulary </w:t>
      </w:r>
      <w:r w:rsidRPr="009A0405">
        <w:rPr>
          <w:rFonts w:ascii="Andalus" w:hAnsi="Andalus" w:cs="Andalus"/>
          <w:color w:val="000000"/>
          <w:sz w:val="28"/>
          <w:szCs w:val="28"/>
        </w:rPr>
        <w:t>and</w:t>
      </w:r>
      <w:r w:rsidR="00C33684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make them appreciate better and use efficiently idiomatic expressions and figurative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language. Furthermore, the course seeks to make up for the little focus in the syllabus on</w:t>
      </w:r>
      <w:r w:rsidR="009A0405" w:rsidRPr="009A0405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9A0405">
        <w:rPr>
          <w:rFonts w:ascii="Andalus" w:hAnsi="Andalus" w:cs="Andalus"/>
          <w:color w:val="000000"/>
          <w:sz w:val="28"/>
          <w:szCs w:val="28"/>
        </w:rPr>
        <w:t>the morphology of English.</w:t>
      </w:r>
    </w:p>
    <w:p w:rsidR="009A0405" w:rsidRPr="009A0405" w:rsidRDefault="009A0405" w:rsidP="009A0405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9A0405" w:rsidRPr="00F94734" w:rsidRDefault="009A0405" w:rsidP="009A0405">
      <w:pPr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  <w:t>Mark Distribution:</w:t>
      </w:r>
    </w:p>
    <w:p w:rsidR="009A0405" w:rsidRPr="009A0405" w:rsidRDefault="009A0405" w:rsidP="009A0405">
      <w:pPr>
        <w:numPr>
          <w:ilvl w:val="0"/>
          <w:numId w:val="1"/>
        </w:numPr>
        <w:spacing w:after="0" w:line="240" w:lineRule="auto"/>
        <w:rPr>
          <w:rFonts w:ascii="Andalus" w:hAnsi="Andalus" w:cs="Andalus"/>
          <w:sz w:val="28"/>
          <w:szCs w:val="28"/>
        </w:rPr>
      </w:pPr>
      <w:r w:rsidRPr="009A0405">
        <w:rPr>
          <w:rFonts w:ascii="Andalus" w:hAnsi="Andalus" w:cs="Andalus"/>
          <w:sz w:val="28"/>
          <w:szCs w:val="28"/>
        </w:rPr>
        <w:t xml:space="preserve">60% for Course Work </w:t>
      </w:r>
    </w:p>
    <w:p w:rsidR="009A0405" w:rsidRPr="009A0405" w:rsidRDefault="009A0405" w:rsidP="009A0405">
      <w:pPr>
        <w:numPr>
          <w:ilvl w:val="0"/>
          <w:numId w:val="2"/>
        </w:numPr>
        <w:spacing w:after="0" w:line="240" w:lineRule="auto"/>
        <w:rPr>
          <w:rFonts w:ascii="Andalus" w:hAnsi="Andalus" w:cs="Andalus"/>
          <w:sz w:val="28"/>
          <w:szCs w:val="28"/>
        </w:rPr>
      </w:pPr>
      <w:r w:rsidRPr="009A0405">
        <w:rPr>
          <w:rFonts w:ascii="Andalus" w:hAnsi="Andalus" w:cs="Andalus"/>
          <w:sz w:val="28"/>
          <w:szCs w:val="28"/>
        </w:rPr>
        <w:t>1</w:t>
      </w:r>
      <w:r w:rsidRPr="009A0405">
        <w:rPr>
          <w:rFonts w:ascii="Andalus" w:hAnsi="Andalus" w:cs="Andalus"/>
          <w:sz w:val="28"/>
          <w:szCs w:val="28"/>
          <w:vertAlign w:val="superscript"/>
        </w:rPr>
        <w:t>st</w:t>
      </w:r>
      <w:r w:rsidRPr="009A0405">
        <w:rPr>
          <w:rFonts w:ascii="Andalus" w:hAnsi="Andalus" w:cs="Andalus"/>
          <w:sz w:val="28"/>
          <w:szCs w:val="28"/>
        </w:rPr>
        <w:t xml:space="preserve"> in-term: 25 marks</w:t>
      </w:r>
    </w:p>
    <w:p w:rsidR="009A0405" w:rsidRPr="009A0405" w:rsidRDefault="009A0405" w:rsidP="009A0405">
      <w:pPr>
        <w:numPr>
          <w:ilvl w:val="0"/>
          <w:numId w:val="2"/>
        </w:numPr>
        <w:spacing w:after="0" w:line="240" w:lineRule="auto"/>
        <w:rPr>
          <w:rFonts w:ascii="Andalus" w:hAnsi="Andalus" w:cs="Andalus"/>
          <w:sz w:val="28"/>
          <w:szCs w:val="28"/>
        </w:rPr>
      </w:pPr>
      <w:r w:rsidRPr="009A0405">
        <w:rPr>
          <w:rFonts w:ascii="Andalus" w:hAnsi="Andalus" w:cs="Andalus"/>
          <w:sz w:val="28"/>
          <w:szCs w:val="28"/>
        </w:rPr>
        <w:t>2</w:t>
      </w:r>
      <w:r w:rsidRPr="009A0405">
        <w:rPr>
          <w:rFonts w:ascii="Andalus" w:hAnsi="Andalus" w:cs="Andalus"/>
          <w:sz w:val="28"/>
          <w:szCs w:val="28"/>
          <w:vertAlign w:val="superscript"/>
        </w:rPr>
        <w:t>nd</w:t>
      </w:r>
      <w:r w:rsidRPr="009A0405">
        <w:rPr>
          <w:rFonts w:ascii="Andalus" w:hAnsi="Andalus" w:cs="Andalus"/>
          <w:sz w:val="28"/>
          <w:szCs w:val="28"/>
        </w:rPr>
        <w:t xml:space="preserve"> in-term: 25 marks</w:t>
      </w:r>
    </w:p>
    <w:p w:rsidR="009A0405" w:rsidRPr="009A0405" w:rsidRDefault="009A0405" w:rsidP="009A0405">
      <w:pPr>
        <w:numPr>
          <w:ilvl w:val="0"/>
          <w:numId w:val="2"/>
        </w:numPr>
        <w:spacing w:after="0" w:line="240" w:lineRule="auto"/>
        <w:rPr>
          <w:rFonts w:ascii="Andalus" w:hAnsi="Andalus" w:cs="Andalus"/>
          <w:sz w:val="28"/>
          <w:szCs w:val="28"/>
        </w:rPr>
      </w:pPr>
      <w:r w:rsidRPr="009A0405">
        <w:rPr>
          <w:rFonts w:ascii="Andalus" w:hAnsi="Andalus" w:cs="Andalus"/>
          <w:sz w:val="28"/>
          <w:szCs w:val="28"/>
        </w:rPr>
        <w:t>Quizzes: 10 marks</w:t>
      </w:r>
    </w:p>
    <w:p w:rsidR="009A0405" w:rsidRPr="009A0405" w:rsidRDefault="009A0405" w:rsidP="009A0405">
      <w:pPr>
        <w:numPr>
          <w:ilvl w:val="0"/>
          <w:numId w:val="1"/>
        </w:numPr>
        <w:spacing w:after="0"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40% for the Final Exam</w:t>
      </w:r>
    </w:p>
    <w:p w:rsidR="009A0405" w:rsidRDefault="009A0405" w:rsidP="009A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608D" w:rsidRPr="00F94734" w:rsidRDefault="009A0405" w:rsidP="009A0405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</w:pPr>
      <w:r w:rsidRPr="00F94734">
        <w:rPr>
          <w:rFonts w:ascii="Andalus" w:hAnsi="Andalus" w:cs="Andalus"/>
          <w:b/>
          <w:bCs/>
          <w:color w:val="365F91" w:themeColor="accent1" w:themeShade="BF"/>
          <w:sz w:val="28"/>
          <w:szCs w:val="28"/>
        </w:rPr>
        <w:lastRenderedPageBreak/>
        <w:t>Syllabus</w:t>
      </w:r>
    </w:p>
    <w:tbl>
      <w:tblPr>
        <w:tblpPr w:leftFromText="180" w:rightFromText="180" w:vertAnchor="page" w:horzAnchor="margin" w:tblpY="279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235"/>
        <w:gridCol w:w="303"/>
        <w:gridCol w:w="1681"/>
        <w:gridCol w:w="5609"/>
      </w:tblGrid>
      <w:tr w:rsidR="009A0405" w:rsidRPr="007D67EB" w:rsidTr="009A0405">
        <w:trPr>
          <w:trHeight w:val="410"/>
        </w:trPr>
        <w:tc>
          <w:tcPr>
            <w:tcW w:w="9828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9A0405" w:rsidRPr="00856DF0" w:rsidRDefault="009A0405" w:rsidP="009A0405">
            <w:pPr>
              <w:pStyle w:val="a3"/>
              <w:jc w:val="center"/>
              <w:rPr>
                <w:rFonts w:ascii="Cambria" w:hAnsi="Cambria" w:hint="cs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17907</wp:posOffset>
                  </wp:positionH>
                  <wp:positionV relativeFrom="paragraph">
                    <wp:posOffset>33655</wp:posOffset>
                  </wp:positionV>
                  <wp:extent cx="466979" cy="466852"/>
                  <wp:effectExtent l="38100" t="0" r="28321" b="142748"/>
                  <wp:wrapNone/>
                  <wp:docPr id="9" name="Picture 0" descr="Description: 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0" descr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79" cy="466852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5618607</wp:posOffset>
                  </wp:positionH>
                  <wp:positionV relativeFrom="paragraph">
                    <wp:posOffset>33655</wp:posOffset>
                  </wp:positionV>
                  <wp:extent cx="466979" cy="466852"/>
                  <wp:effectExtent l="38100" t="0" r="28321" b="142748"/>
                  <wp:wrapNone/>
                  <wp:docPr id="10" name="Picture 0" descr="Description: 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0" descr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79" cy="466852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56DF0">
              <w:rPr>
                <w:rFonts w:ascii="Cambria" w:hAnsi="Cambria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9A0405" w:rsidRPr="00856DF0" w:rsidRDefault="009A0405" w:rsidP="009A0405">
            <w:pPr>
              <w:pStyle w:val="a3"/>
              <w:jc w:val="center"/>
              <w:rPr>
                <w:rFonts w:ascii="Cambria" w:hAnsi="Cambria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56DF0">
              <w:rPr>
                <w:rFonts w:ascii="Cambria" w:hAnsi="Cambria"/>
                <w:b/>
                <w:bCs/>
                <w:color w:val="FFFFFF"/>
                <w:sz w:val="40"/>
                <w:szCs w:val="40"/>
                <w:lang w:eastAsia="en-GB"/>
              </w:rPr>
              <w:t>(2012)</w:t>
            </w:r>
          </w:p>
          <w:p w:rsidR="009A0405" w:rsidRPr="000D166F" w:rsidRDefault="009A0405" w:rsidP="009A0405">
            <w:pPr>
              <w:pStyle w:val="a3"/>
              <w:jc w:val="center"/>
              <w:rPr>
                <w:rFonts w:ascii="Maiandra GD" w:hAnsi="Maiandra GD" w:hint="cs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9A0405" w:rsidRPr="007D67EB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FA5A0A" w:rsidRDefault="009A0405" w:rsidP="009A0405">
            <w:pPr>
              <w:pStyle w:val="a3"/>
              <w:jc w:val="center"/>
              <w:rPr>
                <w:rFonts w:ascii="Maiandra GD" w:hAnsi="Maiandra GD" w:hint="cs"/>
                <w:b/>
                <w:bCs/>
                <w:i/>
                <w:iCs/>
                <w:color w:val="FFFFFF"/>
                <w:sz w:val="18"/>
                <w:szCs w:val="18"/>
                <w:rtl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984" w:type="dxa"/>
            <w:gridSpan w:val="2"/>
            <w:shd w:val="clear" w:color="auto" w:fill="0033CC"/>
            <w:vAlign w:val="center"/>
          </w:tcPr>
          <w:p w:rsidR="009A0405" w:rsidRPr="00FA5A0A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9A0405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9A0405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9A0405" w:rsidRPr="00FA5A0A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03" w:type="dxa"/>
            <w:vMerge w:val="restart"/>
            <w:tcBorders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hint="cs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 w:val="restart"/>
            <w:tcBorders>
              <w:left w:val="nil"/>
            </w:tcBorders>
            <w:shd w:val="clear" w:color="auto" w:fill="DAEEF3"/>
            <w:vAlign w:val="center"/>
          </w:tcPr>
          <w:p w:rsidR="009A0405" w:rsidRPr="009A0405" w:rsidRDefault="009A0405" w:rsidP="009A0405">
            <w:pPr>
              <w:pStyle w:val="a3"/>
              <w:jc w:val="center"/>
              <w:rPr>
                <w:rFonts w:cstheme="minorBidi" w:hint="cs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>Registration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303" w:type="dxa"/>
            <w:vMerge/>
            <w:tcBorders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/>
            <w:tcBorders>
              <w:left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b/>
                <w:sz w:val="20"/>
                <w:szCs w:val="20"/>
              </w:rPr>
              <w:t>Introduction + Chapter 1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303" w:type="dxa"/>
            <w:vMerge/>
            <w:tcBorders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/>
            <w:tcBorders>
              <w:left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8, 9,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303" w:type="dxa"/>
            <w:vMerge/>
            <w:tcBorders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/>
            <w:tcBorders>
              <w:left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  <w:rtl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16, 17,18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303" w:type="dxa"/>
            <w:vMerge/>
            <w:tcBorders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/>
            <w:tcBorders>
              <w:left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  <w:rtl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20, 30,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89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303" w:type="dxa"/>
            <w:vMerge/>
            <w:tcBorders>
              <w:bottom w:val="nil"/>
              <w:right w:val="nil"/>
            </w:tcBorders>
            <w:shd w:val="clear" w:color="auto" w:fill="DAEEF3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81" w:type="dxa"/>
            <w:vMerge/>
            <w:tcBorders>
              <w:left w:val="nil"/>
              <w:bottom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>90, 91,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</w:t>
            </w: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>92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bottom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A0405" w:rsidRPr="00A80945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A80945">
              <w:rPr>
                <w:b/>
                <w:sz w:val="20"/>
                <w:szCs w:val="20"/>
              </w:rPr>
              <w:t>1st In-term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8" w:space="0" w:color="000000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60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93, 94, 80</w:t>
            </w:r>
          </w:p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 w:hint="cs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shd w:val="pct10" w:color="auto" w:fill="0033CC"/>
            <w:vAlign w:val="center"/>
          </w:tcPr>
          <w:p w:rsidR="009A0405" w:rsidRPr="00856DF0" w:rsidRDefault="009A0405" w:rsidP="009A0405">
            <w:pPr>
              <w:pStyle w:val="a3"/>
              <w:pBdr>
                <w:right w:val="single" w:sz="8" w:space="4" w:color="000000"/>
              </w:pBdr>
              <w:jc w:val="center"/>
              <w:rPr>
                <w:b/>
                <w:bCs/>
                <w:color w:val="FFFFFF"/>
                <w:sz w:val="16"/>
                <w:szCs w:val="16"/>
                <w:lang w:eastAsia="en-GB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shd w:val="clear" w:color="auto" w:fill="DAEEF3"/>
            <w:vAlign w:val="center"/>
          </w:tcPr>
          <w:p w:rsidR="009A0405" w:rsidRPr="009A0405" w:rsidRDefault="009A0405" w:rsidP="009A0405">
            <w:pPr>
              <w:pStyle w:val="a3"/>
              <w:jc w:val="center"/>
              <w:rPr>
                <w:rFonts w:cstheme="minorBidi" w:hint="cs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>81, 82, 83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984" w:type="dxa"/>
            <w:gridSpan w:val="2"/>
            <w:tcBorders>
              <w:top w:val="nil"/>
              <w:bottom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85, 86, 87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rtl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95,96,97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984" w:type="dxa"/>
            <w:gridSpan w:val="2"/>
            <w:vMerge/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0F5E3D">
              <w:rPr>
                <w:b/>
                <w:sz w:val="20"/>
                <w:szCs w:val="20"/>
              </w:rPr>
              <w:t>2</w:t>
            </w:r>
            <w:r w:rsidRPr="00A80945">
              <w:rPr>
                <w:b/>
                <w:sz w:val="20"/>
                <w:szCs w:val="20"/>
              </w:rPr>
              <w:t>nd</w:t>
            </w:r>
            <w:r w:rsidRPr="000F5E3D">
              <w:rPr>
                <w:b/>
                <w:sz w:val="20"/>
                <w:szCs w:val="20"/>
              </w:rPr>
              <w:t xml:space="preserve"> In-term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984" w:type="dxa"/>
            <w:gridSpan w:val="2"/>
            <w:vMerge/>
            <w:tcBorders>
              <w:bottom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  <w:rtl/>
              </w:rPr>
            </w:pPr>
            <w:r w:rsidRPr="000F5E3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99, 100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</w:tcBorders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jc w:val="center"/>
              <w:rPr>
                <w:b/>
                <w:sz w:val="20"/>
                <w:szCs w:val="20"/>
              </w:rPr>
            </w:pPr>
            <w:r w:rsidRPr="000F5E3D">
              <w:rPr>
                <w:b/>
                <w:sz w:val="20"/>
                <w:szCs w:val="20"/>
              </w:rPr>
              <w:t>Revision</w:t>
            </w:r>
            <w:r>
              <w:rPr>
                <w:b/>
                <w:sz w:val="20"/>
                <w:szCs w:val="20"/>
              </w:rPr>
              <w:t xml:space="preserve"> &amp; </w:t>
            </w:r>
            <w:r w:rsidRPr="00A857CA">
              <w:rPr>
                <w:b/>
                <w:sz w:val="20"/>
                <w:szCs w:val="20"/>
              </w:rPr>
              <w:t>Make-up exam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9A0405" w:rsidRPr="00A95D54" w:rsidRDefault="009A0405" w:rsidP="009A0405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984" w:type="dxa"/>
            <w:gridSpan w:val="2"/>
            <w:vMerge/>
            <w:shd w:val="clear" w:color="auto" w:fill="DAEEF3"/>
            <w:vAlign w:val="center"/>
          </w:tcPr>
          <w:p w:rsidR="009A0405" w:rsidRPr="00F6685E" w:rsidRDefault="009A0405" w:rsidP="009A040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0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 xml:space="preserve">Oral 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exams</w:t>
            </w:r>
          </w:p>
        </w:tc>
      </w:tr>
      <w:tr w:rsidR="009A0405" w:rsidRPr="000F5E3D" w:rsidTr="009A0405"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9A0405" w:rsidRDefault="009A0405" w:rsidP="009A0405">
            <w:pPr>
              <w:pStyle w:val="a3"/>
              <w:jc w:val="center"/>
              <w:rPr>
                <w:rFonts w:ascii="Maiandra GD" w:hAnsi="Maiandra GD" w:hint="cs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984" w:type="dxa"/>
            <w:gridSpan w:val="2"/>
            <w:vMerge/>
            <w:tcBorders>
              <w:bottom w:val="single" w:sz="8" w:space="0" w:color="000000"/>
            </w:tcBorders>
            <w:shd w:val="clear" w:color="auto" w:fill="DAEEF3"/>
            <w:vAlign w:val="center"/>
          </w:tcPr>
          <w:p w:rsidR="009A0405" w:rsidRPr="00856DF0" w:rsidRDefault="009A0405" w:rsidP="009A0405">
            <w:pPr>
              <w:pStyle w:val="a3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0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A0405" w:rsidRPr="000F5E3D" w:rsidRDefault="009A0405" w:rsidP="009A0405">
            <w:pPr>
              <w:pStyle w:val="a3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F5E3D">
              <w:rPr>
                <w:rFonts w:cs="Calibri"/>
                <w:b/>
                <w:color w:val="000000"/>
                <w:sz w:val="20"/>
                <w:szCs w:val="20"/>
              </w:rPr>
              <w:t>General exams</w:t>
            </w:r>
          </w:p>
        </w:tc>
      </w:tr>
      <w:tr w:rsidR="009A0405" w:rsidRPr="007D67EB" w:rsidTr="009A0405">
        <w:trPr>
          <w:trHeight w:val="337"/>
        </w:trPr>
        <w:tc>
          <w:tcPr>
            <w:tcW w:w="9828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9A0405" w:rsidRPr="00FA5A0A" w:rsidRDefault="009A0405" w:rsidP="009A0405">
            <w:pPr>
              <w:pStyle w:val="a3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Quizzes: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9A0405" w:rsidRPr="009A0405" w:rsidRDefault="009A0405" w:rsidP="009A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9A0405" w:rsidRPr="009A0405" w:rsidSect="006811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6F7"/>
    <w:multiLevelType w:val="hybridMultilevel"/>
    <w:tmpl w:val="B2481CF0"/>
    <w:lvl w:ilvl="0" w:tplc="43BE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9D202A"/>
    <w:multiLevelType w:val="hybridMultilevel"/>
    <w:tmpl w:val="9FEA6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573C"/>
    <w:rsid w:val="002E0971"/>
    <w:rsid w:val="00462407"/>
    <w:rsid w:val="0065573C"/>
    <w:rsid w:val="006811B1"/>
    <w:rsid w:val="009A0405"/>
    <w:rsid w:val="00C33684"/>
    <w:rsid w:val="00F9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405"/>
    <w:pPr>
      <w:bidi/>
      <w:spacing w:after="0" w:line="240" w:lineRule="auto"/>
      <w:jc w:val="right"/>
    </w:pPr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4</cp:revision>
  <dcterms:created xsi:type="dcterms:W3CDTF">2011-11-02T00:40:00Z</dcterms:created>
  <dcterms:modified xsi:type="dcterms:W3CDTF">2012-03-20T22:03:00Z</dcterms:modified>
</cp:coreProperties>
</file>