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BE" w:rsidRDefault="007308BE" w:rsidP="007308BE">
      <w:pPr>
        <w:pStyle w:val="Title"/>
        <w:spacing w:line="360" w:lineRule="auto"/>
        <w:rPr>
          <w:rFonts w:hint="cs"/>
          <w:shadow/>
          <w:sz w:val="36"/>
          <w:szCs w:val="36"/>
          <w:rtl/>
        </w:rPr>
      </w:pPr>
      <w:r>
        <w:rPr>
          <w:rFonts w:hint="cs"/>
          <w:shadow/>
          <w:sz w:val="36"/>
          <w:szCs w:val="36"/>
          <w:rtl/>
        </w:rPr>
        <w:t>مقارنة بين المنافسة الكاملة والاحتكار</w:t>
      </w:r>
    </w:p>
    <w:p w:rsidR="007308BE" w:rsidRDefault="007308BE" w:rsidP="007308BE">
      <w:pPr>
        <w:jc w:val="center"/>
        <w:rPr>
          <w:rFonts w:hint="cs"/>
          <w:b/>
          <w:bCs/>
          <w:rtl/>
        </w:rPr>
      </w:pPr>
    </w:p>
    <w:tbl>
      <w:tblPr>
        <w:bidiVisual/>
        <w:tblW w:w="10620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6"/>
        <w:gridCol w:w="4192"/>
        <w:gridCol w:w="4192"/>
      </w:tblGrid>
      <w:tr w:rsidR="007308BE" w:rsidTr="004566D6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  <w:right w:val="double" w:sz="12" w:space="0" w:color="auto"/>
            </w:tcBorders>
            <w:vAlign w:val="center"/>
          </w:tcPr>
          <w:p w:rsidR="007308BE" w:rsidRDefault="007308BE" w:rsidP="004566D6">
            <w:pPr>
              <w:jc w:val="center"/>
              <w:rPr>
                <w:rFonts w:hint="cs"/>
                <w:b/>
                <w:bCs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12" w:space="0" w:color="auto"/>
              <w:left w:val="double" w:sz="12" w:space="0" w:color="auto"/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7308BE" w:rsidRPr="007C55EB" w:rsidRDefault="007308BE" w:rsidP="004566D6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7C55EB">
              <w:rPr>
                <w:rFonts w:hint="cs"/>
                <w:b/>
                <w:bCs/>
                <w:sz w:val="32"/>
                <w:szCs w:val="32"/>
                <w:rtl/>
              </w:rPr>
              <w:t>المنافسة الكاملة</w:t>
            </w:r>
          </w:p>
        </w:tc>
        <w:tc>
          <w:tcPr>
            <w:tcW w:w="4192" w:type="dxa"/>
            <w:tcBorders>
              <w:top w:val="single" w:sz="12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7308BE" w:rsidRPr="007C55EB" w:rsidRDefault="007308BE" w:rsidP="004566D6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7C55EB">
              <w:rPr>
                <w:rFonts w:hint="cs"/>
                <w:b/>
                <w:bCs/>
                <w:sz w:val="32"/>
                <w:szCs w:val="32"/>
                <w:rtl/>
              </w:rPr>
              <w:t>الاحتكار</w:t>
            </w:r>
          </w:p>
        </w:tc>
      </w:tr>
      <w:tr w:rsidR="007308BE" w:rsidTr="004566D6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2236" w:type="dxa"/>
            <w:tcBorders>
              <w:top w:val="thinThickSmallGap" w:sz="18" w:space="0" w:color="auto"/>
              <w:left w:val="single" w:sz="12" w:space="0" w:color="auto"/>
              <w:right w:val="double" w:sz="12" w:space="0" w:color="auto"/>
            </w:tcBorders>
            <w:vAlign w:val="center"/>
          </w:tcPr>
          <w:p w:rsidR="007308BE" w:rsidRDefault="007308BE" w:rsidP="004566D6">
            <w:pPr>
              <w:jc w:val="center"/>
              <w:rPr>
                <w:rFonts w:ascii="AdLib BT" w:hAnsi="AdLib BT" w:cs="Mudir MT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AdLib BT" w:hAnsi="AdLib BT" w:cs="Mudir MT" w:hint="cs"/>
                <w:b/>
                <w:bCs/>
                <w:color w:val="993300"/>
                <w:sz w:val="28"/>
                <w:szCs w:val="28"/>
                <w:rtl/>
              </w:rPr>
              <w:t xml:space="preserve">السعر </w:t>
            </w:r>
            <w:r w:rsidRPr="007F237F">
              <w:rPr>
                <w:b/>
                <w:bCs/>
                <w:color w:val="993300"/>
                <w:sz w:val="28"/>
                <w:szCs w:val="28"/>
              </w:rPr>
              <w:t>P</w:t>
            </w:r>
          </w:p>
        </w:tc>
        <w:tc>
          <w:tcPr>
            <w:tcW w:w="4192" w:type="dxa"/>
            <w:tcBorders>
              <w:top w:val="thinThickSmallGap" w:sz="18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7308BE" w:rsidRPr="00B6655E" w:rsidRDefault="007308BE" w:rsidP="004566D6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محدد وثابت</w:t>
            </w:r>
          </w:p>
        </w:tc>
        <w:tc>
          <w:tcPr>
            <w:tcW w:w="4192" w:type="dxa"/>
            <w:tcBorders>
              <w:top w:val="thinThickSmallGap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08BE" w:rsidRPr="00B6655E" w:rsidRDefault="007308BE" w:rsidP="004566D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يتغير بتغير الكمية</w:t>
            </w:r>
          </w:p>
        </w:tc>
      </w:tr>
      <w:tr w:rsidR="007308BE" w:rsidTr="004566D6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2236" w:type="dxa"/>
            <w:tcBorders>
              <w:top w:val="single" w:sz="4" w:space="0" w:color="auto"/>
              <w:left w:val="single" w:sz="12" w:space="0" w:color="auto"/>
              <w:right w:val="double" w:sz="12" w:space="0" w:color="auto"/>
            </w:tcBorders>
            <w:vAlign w:val="center"/>
          </w:tcPr>
          <w:p w:rsidR="007308BE" w:rsidRDefault="007308BE" w:rsidP="004566D6">
            <w:pPr>
              <w:jc w:val="center"/>
              <w:rPr>
                <w:rFonts w:ascii="AdLib BT" w:hAnsi="AdLib BT" w:cs="Mudir MT" w:hint="cs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AdLib BT" w:hAnsi="AdLib BT" w:cs="Mudir MT" w:hint="cs"/>
                <w:b/>
                <w:bCs/>
                <w:color w:val="993300"/>
                <w:sz w:val="28"/>
                <w:szCs w:val="28"/>
                <w:rtl/>
              </w:rPr>
              <w:t>التأثير على السوق</w:t>
            </w:r>
          </w:p>
        </w:tc>
        <w:tc>
          <w:tcPr>
            <w:tcW w:w="4192" w:type="dxa"/>
            <w:tcBorders>
              <w:top w:val="single" w:sz="4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7308BE" w:rsidRPr="00B6655E" w:rsidRDefault="007308BE" w:rsidP="004566D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المنتج لا يحدد </w:t>
            </w:r>
            <w:r>
              <w:rPr>
                <w:b/>
                <w:bCs/>
                <w:sz w:val="28"/>
                <w:szCs w:val="28"/>
              </w:rPr>
              <w:t>P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يحدد فقط </w:t>
            </w:r>
            <w:r>
              <w:rPr>
                <w:b/>
                <w:bCs/>
                <w:sz w:val="28"/>
                <w:szCs w:val="28"/>
              </w:rPr>
              <w:t>Q*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08BE" w:rsidRPr="00920C69" w:rsidRDefault="007308BE" w:rsidP="004566D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المنتج يحدد </w:t>
            </w:r>
            <w:r>
              <w:rPr>
                <w:b/>
                <w:bCs/>
                <w:sz w:val="28"/>
                <w:szCs w:val="28"/>
              </w:rPr>
              <w:t>P*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 </w:t>
            </w:r>
            <w:r>
              <w:rPr>
                <w:b/>
                <w:bCs/>
                <w:sz w:val="28"/>
                <w:szCs w:val="28"/>
              </w:rPr>
              <w:t>Q*</w:t>
            </w:r>
          </w:p>
        </w:tc>
      </w:tr>
      <w:tr w:rsidR="007308BE" w:rsidTr="004566D6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2236" w:type="dxa"/>
            <w:tcBorders>
              <w:top w:val="single" w:sz="4" w:space="0" w:color="auto"/>
              <w:left w:val="single" w:sz="12" w:space="0" w:color="auto"/>
              <w:right w:val="double" w:sz="12" w:space="0" w:color="auto"/>
            </w:tcBorders>
            <w:vAlign w:val="center"/>
          </w:tcPr>
          <w:p w:rsidR="007308BE" w:rsidRDefault="007308BE" w:rsidP="004566D6">
            <w:pPr>
              <w:jc w:val="center"/>
              <w:rPr>
                <w:rFonts w:ascii="AdLib BT" w:hAnsi="AdLib BT" w:cs="Mudir MT"/>
                <w:b/>
                <w:bCs/>
                <w:color w:val="993300"/>
                <w:sz w:val="28"/>
                <w:szCs w:val="28"/>
              </w:rPr>
            </w:pPr>
            <w:r>
              <w:rPr>
                <w:rFonts w:ascii="AdLib BT" w:hAnsi="AdLib BT" w:cs="Mudir MT" w:hint="cs"/>
                <w:b/>
                <w:bCs/>
                <w:color w:val="993300"/>
                <w:sz w:val="28"/>
                <w:szCs w:val="28"/>
                <w:rtl/>
              </w:rPr>
              <w:t xml:space="preserve">الايراد الكلي </w:t>
            </w:r>
            <w:r w:rsidRPr="007F237F">
              <w:rPr>
                <w:b/>
                <w:bCs/>
                <w:color w:val="993300"/>
                <w:sz w:val="28"/>
                <w:szCs w:val="28"/>
              </w:rPr>
              <w:t>TR</w:t>
            </w:r>
            <w:r>
              <w:rPr>
                <w:rFonts w:ascii="AdLib BT" w:hAnsi="AdLib BT" w:cs="Mudir MT" w:hint="cs"/>
                <w:b/>
                <w:bCs/>
                <w:color w:val="9933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92" w:type="dxa"/>
            <w:tcBorders>
              <w:top w:val="single" w:sz="4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7308BE" w:rsidRPr="00B6655E" w:rsidRDefault="007308BE" w:rsidP="004566D6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يزداد بنسبة ثابته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08BE" w:rsidRPr="00B6655E" w:rsidRDefault="007308BE" w:rsidP="004566D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يزداد بنسبة متناقصة ثم متزايدة</w:t>
            </w:r>
          </w:p>
        </w:tc>
      </w:tr>
      <w:tr w:rsidR="007308BE" w:rsidTr="004566D6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2236" w:type="dxa"/>
            <w:tcBorders>
              <w:left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308BE" w:rsidRDefault="007308BE" w:rsidP="004566D6">
            <w:pPr>
              <w:pStyle w:val="BodyText"/>
              <w:rPr>
                <w:rFonts w:cs="Mudir MT"/>
                <w:color w:val="993300"/>
                <w:sz w:val="28"/>
                <w:szCs w:val="28"/>
              </w:rPr>
            </w:pPr>
            <w:r>
              <w:rPr>
                <w:rFonts w:cs="Mudir MT" w:hint="cs"/>
                <w:color w:val="993300"/>
                <w:sz w:val="28"/>
                <w:szCs w:val="28"/>
                <w:rtl/>
              </w:rPr>
              <w:t xml:space="preserve">الايراد المتوسط </w:t>
            </w:r>
            <w:r>
              <w:rPr>
                <w:rFonts w:cs="Mudir MT"/>
                <w:color w:val="993300"/>
                <w:sz w:val="28"/>
                <w:szCs w:val="28"/>
              </w:rPr>
              <w:t>AR</w:t>
            </w:r>
          </w:p>
        </w:tc>
        <w:tc>
          <w:tcPr>
            <w:tcW w:w="4192" w:type="dxa"/>
            <w:tcBorders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8BE" w:rsidRPr="00B6655E" w:rsidRDefault="007308BE" w:rsidP="004566D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ثابت = </w:t>
            </w:r>
            <w:r>
              <w:rPr>
                <w:b/>
                <w:bCs/>
                <w:sz w:val="28"/>
                <w:szCs w:val="28"/>
              </w:rPr>
              <w:t>P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= </w:t>
            </w:r>
            <w:r>
              <w:rPr>
                <w:b/>
                <w:bCs/>
                <w:sz w:val="28"/>
                <w:szCs w:val="28"/>
              </w:rPr>
              <w:t>MR</w:t>
            </w:r>
          </w:p>
        </w:tc>
        <w:tc>
          <w:tcPr>
            <w:tcW w:w="4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8BE" w:rsidRPr="00B6655E" w:rsidRDefault="007308BE" w:rsidP="004566D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متناقص = </w:t>
            </w:r>
            <w:r>
              <w:rPr>
                <w:b/>
                <w:bCs/>
                <w:sz w:val="28"/>
                <w:szCs w:val="28"/>
              </w:rPr>
              <w:t>P</w:t>
            </w:r>
          </w:p>
        </w:tc>
      </w:tr>
      <w:tr w:rsidR="007308BE" w:rsidTr="004566D6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2236" w:type="dxa"/>
            <w:tcBorders>
              <w:left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308BE" w:rsidRDefault="007308BE" w:rsidP="004566D6">
            <w:pPr>
              <w:pStyle w:val="BodyText"/>
              <w:rPr>
                <w:rFonts w:cs="Mudir MT"/>
                <w:color w:val="993300"/>
                <w:sz w:val="28"/>
                <w:szCs w:val="28"/>
              </w:rPr>
            </w:pPr>
            <w:r>
              <w:rPr>
                <w:rFonts w:cs="Mudir MT" w:hint="cs"/>
                <w:color w:val="993300"/>
                <w:sz w:val="28"/>
                <w:szCs w:val="28"/>
                <w:rtl/>
              </w:rPr>
              <w:t xml:space="preserve">الايراد الحدي </w:t>
            </w:r>
            <w:r>
              <w:rPr>
                <w:rFonts w:cs="Mudir MT"/>
                <w:color w:val="993300"/>
                <w:sz w:val="28"/>
                <w:szCs w:val="28"/>
              </w:rPr>
              <w:t>MR</w:t>
            </w:r>
          </w:p>
        </w:tc>
        <w:tc>
          <w:tcPr>
            <w:tcW w:w="4192" w:type="dxa"/>
            <w:tcBorders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8BE" w:rsidRPr="00B6655E" w:rsidRDefault="007308BE" w:rsidP="004566D6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ثابت = </w:t>
            </w:r>
            <w:r>
              <w:rPr>
                <w:b/>
                <w:bCs/>
                <w:sz w:val="28"/>
                <w:szCs w:val="28"/>
              </w:rPr>
              <w:t>P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= </w:t>
            </w:r>
            <w:r>
              <w:rPr>
                <w:b/>
                <w:bCs/>
                <w:sz w:val="28"/>
                <w:szCs w:val="28"/>
              </w:rPr>
              <w:t>AR</w:t>
            </w:r>
          </w:p>
        </w:tc>
        <w:tc>
          <w:tcPr>
            <w:tcW w:w="4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8BE" w:rsidRPr="00B6655E" w:rsidRDefault="007308BE" w:rsidP="004566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متناقص وأقل من </w:t>
            </w:r>
            <w:r>
              <w:rPr>
                <w:b/>
                <w:bCs/>
                <w:sz w:val="28"/>
                <w:szCs w:val="28"/>
              </w:rPr>
              <w:t>(P)AR&gt;</w:t>
            </w:r>
          </w:p>
        </w:tc>
      </w:tr>
      <w:tr w:rsidR="007308BE" w:rsidTr="004566D6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2236" w:type="dxa"/>
            <w:tcBorders>
              <w:left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308BE" w:rsidRDefault="007308BE" w:rsidP="004566D6">
            <w:pPr>
              <w:pStyle w:val="BodyText"/>
              <w:rPr>
                <w:rFonts w:cs="Mudir MT" w:hint="cs"/>
                <w:color w:val="993300"/>
                <w:sz w:val="28"/>
                <w:szCs w:val="28"/>
                <w:rtl/>
              </w:rPr>
            </w:pPr>
            <w:r>
              <w:rPr>
                <w:rFonts w:cs="Mudir MT" w:hint="cs"/>
                <w:color w:val="993300"/>
                <w:sz w:val="28"/>
                <w:szCs w:val="28"/>
                <w:rtl/>
              </w:rPr>
              <w:t>منحنى الطلب</w:t>
            </w:r>
          </w:p>
        </w:tc>
        <w:tc>
          <w:tcPr>
            <w:tcW w:w="4192" w:type="dxa"/>
            <w:tcBorders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8BE" w:rsidRPr="00B6655E" w:rsidRDefault="007308BE" w:rsidP="004566D6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تام (لا نهائي) المرونة</w:t>
            </w:r>
          </w:p>
        </w:tc>
        <w:tc>
          <w:tcPr>
            <w:tcW w:w="4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8BE" w:rsidRPr="00B6655E" w:rsidRDefault="007308BE" w:rsidP="004566D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متغير المرونة</w:t>
            </w:r>
          </w:p>
        </w:tc>
      </w:tr>
      <w:tr w:rsidR="007308BE" w:rsidTr="004566D6">
        <w:tblPrEx>
          <w:tblCellMar>
            <w:top w:w="0" w:type="dxa"/>
            <w:bottom w:w="0" w:type="dxa"/>
          </w:tblCellMar>
        </w:tblPrEx>
        <w:trPr>
          <w:cantSplit/>
          <w:trHeight w:val="1088"/>
        </w:trPr>
        <w:tc>
          <w:tcPr>
            <w:tcW w:w="2236" w:type="dxa"/>
            <w:tcBorders>
              <w:left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308BE" w:rsidRDefault="007308BE" w:rsidP="004566D6">
            <w:pPr>
              <w:pStyle w:val="BodyText"/>
              <w:rPr>
                <w:rFonts w:cs="Mudir MT" w:hint="cs"/>
                <w:color w:val="993300"/>
                <w:sz w:val="28"/>
                <w:szCs w:val="28"/>
                <w:rtl/>
              </w:rPr>
            </w:pPr>
            <w:r>
              <w:rPr>
                <w:rFonts w:cs="Mudir MT" w:hint="cs"/>
                <w:color w:val="993300"/>
                <w:sz w:val="28"/>
                <w:szCs w:val="28"/>
                <w:rtl/>
              </w:rPr>
              <w:t>منحنى العرض</w:t>
            </w:r>
          </w:p>
          <w:p w:rsidR="007308BE" w:rsidRPr="002E3045" w:rsidRDefault="007308BE" w:rsidP="004566D6">
            <w:pPr>
              <w:pStyle w:val="BodyText"/>
              <w:rPr>
                <w:rFonts w:cs="Mudir MT" w:hint="cs"/>
                <w:color w:val="993300"/>
                <w:sz w:val="20"/>
                <w:szCs w:val="20"/>
                <w:rtl/>
              </w:rPr>
            </w:pPr>
            <w:r w:rsidRPr="002E3045">
              <w:rPr>
                <w:rFonts w:cs="Mudir MT" w:hint="cs"/>
                <w:color w:val="993300"/>
                <w:sz w:val="20"/>
                <w:szCs w:val="20"/>
                <w:rtl/>
              </w:rPr>
              <w:t>(في الأجل القصير)</w:t>
            </w:r>
          </w:p>
        </w:tc>
        <w:tc>
          <w:tcPr>
            <w:tcW w:w="4192" w:type="dxa"/>
            <w:tcBorders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8BE" w:rsidRPr="00B6655E" w:rsidRDefault="007308BE" w:rsidP="004566D6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MC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فوق نقطة الاغلاق</w:t>
            </w:r>
          </w:p>
        </w:tc>
        <w:tc>
          <w:tcPr>
            <w:tcW w:w="4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8BE" w:rsidRPr="00B6655E" w:rsidRDefault="007308BE" w:rsidP="004566D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 يوجد، عرضه يعتمد على شكل وموقع منحنى الطلب</w:t>
            </w:r>
          </w:p>
        </w:tc>
      </w:tr>
      <w:tr w:rsidR="007308BE" w:rsidTr="004566D6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2236" w:type="dxa"/>
            <w:tcBorders>
              <w:left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308BE" w:rsidRPr="007F237F" w:rsidRDefault="007308BE" w:rsidP="004566D6">
            <w:pPr>
              <w:pStyle w:val="BodyText"/>
              <w:rPr>
                <w:rFonts w:cs="Mudir MT"/>
                <w:color w:val="993300"/>
                <w:sz w:val="28"/>
                <w:szCs w:val="28"/>
              </w:rPr>
            </w:pPr>
            <w:r w:rsidRPr="007F237F">
              <w:rPr>
                <w:rFonts w:cs="Mudir MT"/>
                <w:color w:val="993300"/>
                <w:sz w:val="28"/>
                <w:szCs w:val="28"/>
              </w:rPr>
              <w:t>P*</w:t>
            </w:r>
          </w:p>
        </w:tc>
        <w:tc>
          <w:tcPr>
            <w:tcW w:w="4192" w:type="dxa"/>
            <w:tcBorders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8BE" w:rsidRPr="00B6655E" w:rsidRDefault="007308BE" w:rsidP="004566D6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منخفض نسبياً</w:t>
            </w:r>
          </w:p>
        </w:tc>
        <w:tc>
          <w:tcPr>
            <w:tcW w:w="4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8BE" w:rsidRPr="00B6655E" w:rsidRDefault="007308BE" w:rsidP="004566D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مرتفع نسبياً</w:t>
            </w:r>
          </w:p>
        </w:tc>
      </w:tr>
      <w:tr w:rsidR="007308BE" w:rsidTr="004566D6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2236" w:type="dxa"/>
            <w:tcBorders>
              <w:left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308BE" w:rsidRPr="007F237F" w:rsidRDefault="007308BE" w:rsidP="004566D6">
            <w:pPr>
              <w:pStyle w:val="BodyText"/>
              <w:rPr>
                <w:rFonts w:cs="Mudir MT" w:hint="cs"/>
                <w:color w:val="993300"/>
                <w:sz w:val="28"/>
                <w:szCs w:val="28"/>
                <w:rtl/>
              </w:rPr>
            </w:pPr>
            <w:r w:rsidRPr="007F237F">
              <w:rPr>
                <w:rFonts w:cs="Mudir MT"/>
                <w:color w:val="993300"/>
                <w:sz w:val="28"/>
                <w:szCs w:val="28"/>
              </w:rPr>
              <w:t>Q*</w:t>
            </w:r>
          </w:p>
        </w:tc>
        <w:tc>
          <w:tcPr>
            <w:tcW w:w="4192" w:type="dxa"/>
            <w:tcBorders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8BE" w:rsidRPr="00B6655E" w:rsidRDefault="007308BE" w:rsidP="004566D6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مرتفع نسبياً</w:t>
            </w:r>
          </w:p>
        </w:tc>
        <w:tc>
          <w:tcPr>
            <w:tcW w:w="4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8BE" w:rsidRPr="00B6655E" w:rsidRDefault="007308BE" w:rsidP="004566D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منخفض نسبياً</w:t>
            </w:r>
          </w:p>
        </w:tc>
      </w:tr>
      <w:tr w:rsidR="007308BE" w:rsidTr="004566D6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2236" w:type="dxa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7308BE" w:rsidRDefault="007308BE" w:rsidP="004566D6">
            <w:pPr>
              <w:pStyle w:val="BodyText"/>
              <w:rPr>
                <w:rFonts w:cs="Mudir MT"/>
                <w:color w:val="993300"/>
                <w:sz w:val="28"/>
                <w:szCs w:val="28"/>
              </w:rPr>
            </w:pPr>
            <w:r>
              <w:rPr>
                <w:rFonts w:cs="Mudir MT" w:hint="cs"/>
                <w:color w:val="993300"/>
                <w:sz w:val="28"/>
                <w:szCs w:val="28"/>
                <w:rtl/>
              </w:rPr>
              <w:t>الصناعة</w:t>
            </w:r>
          </w:p>
        </w:tc>
        <w:tc>
          <w:tcPr>
            <w:tcW w:w="4192" w:type="dxa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7308BE" w:rsidRPr="00A02905" w:rsidRDefault="007308BE" w:rsidP="004566D6">
            <w:pPr>
              <w:jc w:val="center"/>
              <w:rPr>
                <w:b/>
                <w:bCs/>
                <w:sz w:val="28"/>
                <w:szCs w:val="28"/>
              </w:rPr>
            </w:pPr>
            <w:r w:rsidRPr="00A02905">
              <w:rPr>
                <w:rFonts w:hint="cs"/>
                <w:b/>
                <w:bCs/>
                <w:sz w:val="28"/>
                <w:szCs w:val="28"/>
                <w:rtl/>
              </w:rPr>
              <w:t>مجموع المنش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آ</w:t>
            </w:r>
            <w:r w:rsidRPr="00A02905">
              <w:rPr>
                <w:rFonts w:hint="cs"/>
                <w:b/>
                <w:bCs/>
                <w:sz w:val="28"/>
                <w:szCs w:val="28"/>
                <w:rtl/>
              </w:rPr>
              <w:t>ت المنتجة</w:t>
            </w:r>
          </w:p>
        </w:tc>
        <w:tc>
          <w:tcPr>
            <w:tcW w:w="41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8BE" w:rsidRPr="00A02905" w:rsidRDefault="007308BE" w:rsidP="004566D6">
            <w:pPr>
              <w:jc w:val="center"/>
              <w:rPr>
                <w:b/>
                <w:bCs/>
                <w:sz w:val="28"/>
                <w:szCs w:val="28"/>
              </w:rPr>
            </w:pPr>
            <w:r w:rsidRPr="00A02905">
              <w:rPr>
                <w:rFonts w:hint="cs"/>
                <w:b/>
                <w:bCs/>
                <w:sz w:val="28"/>
                <w:szCs w:val="28"/>
                <w:rtl/>
              </w:rPr>
              <w:t>هي نفسها المنشأة</w:t>
            </w:r>
          </w:p>
        </w:tc>
      </w:tr>
      <w:tr w:rsidR="007308BE" w:rsidTr="004566D6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2236" w:type="dxa"/>
            <w:tcBorders>
              <w:left w:val="sing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308BE" w:rsidRDefault="007308BE" w:rsidP="004566D6">
            <w:pPr>
              <w:pStyle w:val="BodyText"/>
              <w:rPr>
                <w:rFonts w:cs="Mudir MT"/>
                <w:color w:val="993300"/>
                <w:sz w:val="28"/>
                <w:szCs w:val="28"/>
              </w:rPr>
            </w:pPr>
            <w:r>
              <w:rPr>
                <w:rFonts w:cs="Mudir MT" w:hint="cs"/>
                <w:color w:val="993300"/>
                <w:sz w:val="28"/>
                <w:szCs w:val="28"/>
                <w:rtl/>
              </w:rPr>
              <w:t>استخدام الموارد</w:t>
            </w:r>
          </w:p>
        </w:tc>
        <w:tc>
          <w:tcPr>
            <w:tcW w:w="4192" w:type="dxa"/>
            <w:tcBorders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8BE" w:rsidRPr="00A02905" w:rsidRDefault="007308BE" w:rsidP="004566D6">
            <w:pPr>
              <w:jc w:val="center"/>
              <w:rPr>
                <w:b/>
                <w:bCs/>
                <w:sz w:val="28"/>
                <w:szCs w:val="28"/>
              </w:rPr>
            </w:pPr>
            <w:r w:rsidRPr="00A02905">
              <w:rPr>
                <w:b/>
                <w:bCs/>
                <w:sz w:val="28"/>
                <w:szCs w:val="28"/>
              </w:rPr>
              <w:t>Q</w:t>
            </w:r>
            <w:r w:rsidRPr="00A02905">
              <w:rPr>
                <w:rFonts w:hint="cs"/>
                <w:b/>
                <w:bCs/>
                <w:sz w:val="28"/>
                <w:szCs w:val="28"/>
                <w:rtl/>
              </w:rPr>
              <w:t xml:space="preserve"> يمثل أفضل استخدام للموارد</w:t>
            </w:r>
          </w:p>
        </w:tc>
        <w:tc>
          <w:tcPr>
            <w:tcW w:w="41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8BE" w:rsidRPr="00B6655E" w:rsidRDefault="007308BE" w:rsidP="004566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عدم كفاءة في استخدام الموارد</w:t>
            </w:r>
          </w:p>
        </w:tc>
      </w:tr>
    </w:tbl>
    <w:p w:rsidR="000673DD" w:rsidRPr="007308BE" w:rsidRDefault="000673DD"/>
    <w:sectPr w:rsidR="000673DD" w:rsidRPr="007308BE" w:rsidSect="00A838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Lib BT">
    <w:altName w:val="Gabriola"/>
    <w:charset w:val="00"/>
    <w:family w:val="decorative"/>
    <w:pitch w:val="variable"/>
    <w:sig w:usb0="00000001" w:usb1="00000000" w:usb2="00000000" w:usb3="00000000" w:csb0="0000001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/>
  <w:rsids>
    <w:rsidRoot w:val="007308BE"/>
    <w:rsid w:val="00007C76"/>
    <w:rsid w:val="00034BDA"/>
    <w:rsid w:val="00045DF4"/>
    <w:rsid w:val="00053A58"/>
    <w:rsid w:val="000570E2"/>
    <w:rsid w:val="00063466"/>
    <w:rsid w:val="000673DD"/>
    <w:rsid w:val="00074318"/>
    <w:rsid w:val="000903EA"/>
    <w:rsid w:val="0009226C"/>
    <w:rsid w:val="000923BA"/>
    <w:rsid w:val="000A3E01"/>
    <w:rsid w:val="000A428E"/>
    <w:rsid w:val="000B20EC"/>
    <w:rsid w:val="000B4BCD"/>
    <w:rsid w:val="000B5A88"/>
    <w:rsid w:val="000B7B76"/>
    <w:rsid w:val="000C08DA"/>
    <w:rsid w:val="000C0B5E"/>
    <w:rsid w:val="000C5FA0"/>
    <w:rsid w:val="000D353F"/>
    <w:rsid w:val="000D615E"/>
    <w:rsid w:val="000F34A3"/>
    <w:rsid w:val="00102685"/>
    <w:rsid w:val="001107DE"/>
    <w:rsid w:val="00115099"/>
    <w:rsid w:val="00136DEB"/>
    <w:rsid w:val="00157831"/>
    <w:rsid w:val="001647EA"/>
    <w:rsid w:val="00175664"/>
    <w:rsid w:val="0017743C"/>
    <w:rsid w:val="00180E86"/>
    <w:rsid w:val="001A1416"/>
    <w:rsid w:val="001A3B9D"/>
    <w:rsid w:val="001C2585"/>
    <w:rsid w:val="001C2A43"/>
    <w:rsid w:val="001D091C"/>
    <w:rsid w:val="001D1E03"/>
    <w:rsid w:val="001D6BDE"/>
    <w:rsid w:val="001E347D"/>
    <w:rsid w:val="001F0187"/>
    <w:rsid w:val="002101B4"/>
    <w:rsid w:val="00213714"/>
    <w:rsid w:val="002153F6"/>
    <w:rsid w:val="00237225"/>
    <w:rsid w:val="00244776"/>
    <w:rsid w:val="00245B1C"/>
    <w:rsid w:val="0025469F"/>
    <w:rsid w:val="00265E22"/>
    <w:rsid w:val="0028666D"/>
    <w:rsid w:val="00286870"/>
    <w:rsid w:val="002B2CBA"/>
    <w:rsid w:val="002F14AF"/>
    <w:rsid w:val="002F5FD9"/>
    <w:rsid w:val="002F62E4"/>
    <w:rsid w:val="00303D1B"/>
    <w:rsid w:val="003057AE"/>
    <w:rsid w:val="0031246B"/>
    <w:rsid w:val="003127A6"/>
    <w:rsid w:val="0031461E"/>
    <w:rsid w:val="003445C6"/>
    <w:rsid w:val="00345104"/>
    <w:rsid w:val="0037059E"/>
    <w:rsid w:val="00377600"/>
    <w:rsid w:val="003A24E2"/>
    <w:rsid w:val="004129D6"/>
    <w:rsid w:val="0043350B"/>
    <w:rsid w:val="00440501"/>
    <w:rsid w:val="00443103"/>
    <w:rsid w:val="00453FB8"/>
    <w:rsid w:val="00454688"/>
    <w:rsid w:val="00455D0E"/>
    <w:rsid w:val="00470A0D"/>
    <w:rsid w:val="0048060D"/>
    <w:rsid w:val="004845BB"/>
    <w:rsid w:val="00496B29"/>
    <w:rsid w:val="004A0880"/>
    <w:rsid w:val="004A7D6C"/>
    <w:rsid w:val="004B6983"/>
    <w:rsid w:val="004C50FC"/>
    <w:rsid w:val="004E6B5C"/>
    <w:rsid w:val="004F002D"/>
    <w:rsid w:val="004F1A9D"/>
    <w:rsid w:val="00505F26"/>
    <w:rsid w:val="00510E8F"/>
    <w:rsid w:val="00521807"/>
    <w:rsid w:val="00533332"/>
    <w:rsid w:val="00534E17"/>
    <w:rsid w:val="005517AE"/>
    <w:rsid w:val="00557E29"/>
    <w:rsid w:val="00565669"/>
    <w:rsid w:val="005721B9"/>
    <w:rsid w:val="005B0B1E"/>
    <w:rsid w:val="005B11A4"/>
    <w:rsid w:val="005B1AA5"/>
    <w:rsid w:val="005B5A60"/>
    <w:rsid w:val="005D3952"/>
    <w:rsid w:val="005E360F"/>
    <w:rsid w:val="005F2C5F"/>
    <w:rsid w:val="00604AE4"/>
    <w:rsid w:val="00621545"/>
    <w:rsid w:val="00624784"/>
    <w:rsid w:val="00635C14"/>
    <w:rsid w:val="006367DD"/>
    <w:rsid w:val="00643FBE"/>
    <w:rsid w:val="0065401D"/>
    <w:rsid w:val="006553EC"/>
    <w:rsid w:val="0065798E"/>
    <w:rsid w:val="00685123"/>
    <w:rsid w:val="00686D74"/>
    <w:rsid w:val="006A0E72"/>
    <w:rsid w:val="006C3967"/>
    <w:rsid w:val="006D468D"/>
    <w:rsid w:val="006E2212"/>
    <w:rsid w:val="006E56A3"/>
    <w:rsid w:val="007069D9"/>
    <w:rsid w:val="00706C88"/>
    <w:rsid w:val="00706EA0"/>
    <w:rsid w:val="00712773"/>
    <w:rsid w:val="00720E45"/>
    <w:rsid w:val="007306CD"/>
    <w:rsid w:val="007308BE"/>
    <w:rsid w:val="0073505F"/>
    <w:rsid w:val="007350A2"/>
    <w:rsid w:val="007351BE"/>
    <w:rsid w:val="00737100"/>
    <w:rsid w:val="007403CA"/>
    <w:rsid w:val="007422EA"/>
    <w:rsid w:val="0074630B"/>
    <w:rsid w:val="00752093"/>
    <w:rsid w:val="007555E0"/>
    <w:rsid w:val="00757B2A"/>
    <w:rsid w:val="007617D1"/>
    <w:rsid w:val="00784060"/>
    <w:rsid w:val="007908D4"/>
    <w:rsid w:val="00794E53"/>
    <w:rsid w:val="007A1D17"/>
    <w:rsid w:val="007B7F38"/>
    <w:rsid w:val="007C0E21"/>
    <w:rsid w:val="007D04CE"/>
    <w:rsid w:val="007D058C"/>
    <w:rsid w:val="007D1919"/>
    <w:rsid w:val="008038F0"/>
    <w:rsid w:val="008077AC"/>
    <w:rsid w:val="00821694"/>
    <w:rsid w:val="00823F27"/>
    <w:rsid w:val="00825DDD"/>
    <w:rsid w:val="00844C7D"/>
    <w:rsid w:val="00863BFD"/>
    <w:rsid w:val="00864707"/>
    <w:rsid w:val="00864A99"/>
    <w:rsid w:val="008764FC"/>
    <w:rsid w:val="00894EBE"/>
    <w:rsid w:val="00896AA3"/>
    <w:rsid w:val="008973EC"/>
    <w:rsid w:val="00897FC2"/>
    <w:rsid w:val="008A28A5"/>
    <w:rsid w:val="008A3292"/>
    <w:rsid w:val="008A4080"/>
    <w:rsid w:val="008B0225"/>
    <w:rsid w:val="008B4EC0"/>
    <w:rsid w:val="008C69C4"/>
    <w:rsid w:val="008D115B"/>
    <w:rsid w:val="008E342D"/>
    <w:rsid w:val="008E5FF7"/>
    <w:rsid w:val="00910850"/>
    <w:rsid w:val="00912CF4"/>
    <w:rsid w:val="00920DA8"/>
    <w:rsid w:val="0093587D"/>
    <w:rsid w:val="009378CB"/>
    <w:rsid w:val="00961E39"/>
    <w:rsid w:val="00987E79"/>
    <w:rsid w:val="00990CE2"/>
    <w:rsid w:val="009B7125"/>
    <w:rsid w:val="009C5A95"/>
    <w:rsid w:val="009D05EF"/>
    <w:rsid w:val="009E41D2"/>
    <w:rsid w:val="00A1553F"/>
    <w:rsid w:val="00A3795A"/>
    <w:rsid w:val="00A4121B"/>
    <w:rsid w:val="00A637AB"/>
    <w:rsid w:val="00A658D9"/>
    <w:rsid w:val="00A73B89"/>
    <w:rsid w:val="00A838D3"/>
    <w:rsid w:val="00A8401F"/>
    <w:rsid w:val="00A85A06"/>
    <w:rsid w:val="00AB35DC"/>
    <w:rsid w:val="00AC7ED1"/>
    <w:rsid w:val="00AD6103"/>
    <w:rsid w:val="00AF698C"/>
    <w:rsid w:val="00B17B20"/>
    <w:rsid w:val="00B2049B"/>
    <w:rsid w:val="00B20DC0"/>
    <w:rsid w:val="00B268B4"/>
    <w:rsid w:val="00B3144A"/>
    <w:rsid w:val="00B338F4"/>
    <w:rsid w:val="00B451DE"/>
    <w:rsid w:val="00B72645"/>
    <w:rsid w:val="00B73896"/>
    <w:rsid w:val="00B80CD5"/>
    <w:rsid w:val="00B81F5D"/>
    <w:rsid w:val="00B82A4C"/>
    <w:rsid w:val="00B83DDD"/>
    <w:rsid w:val="00B96E15"/>
    <w:rsid w:val="00BB374E"/>
    <w:rsid w:val="00BD79A0"/>
    <w:rsid w:val="00BF7851"/>
    <w:rsid w:val="00C17BBD"/>
    <w:rsid w:val="00C2001A"/>
    <w:rsid w:val="00C339BF"/>
    <w:rsid w:val="00C36C59"/>
    <w:rsid w:val="00C50186"/>
    <w:rsid w:val="00C775CE"/>
    <w:rsid w:val="00C84D67"/>
    <w:rsid w:val="00C911A2"/>
    <w:rsid w:val="00C96A11"/>
    <w:rsid w:val="00CB1E7F"/>
    <w:rsid w:val="00CC311E"/>
    <w:rsid w:val="00CD0DAD"/>
    <w:rsid w:val="00D04CCD"/>
    <w:rsid w:val="00D1534F"/>
    <w:rsid w:val="00D2473E"/>
    <w:rsid w:val="00D275B9"/>
    <w:rsid w:val="00D32B91"/>
    <w:rsid w:val="00D43342"/>
    <w:rsid w:val="00D51EB8"/>
    <w:rsid w:val="00D5282D"/>
    <w:rsid w:val="00D53B19"/>
    <w:rsid w:val="00D62D5D"/>
    <w:rsid w:val="00D90FDD"/>
    <w:rsid w:val="00D91FBD"/>
    <w:rsid w:val="00D9601F"/>
    <w:rsid w:val="00DF45D2"/>
    <w:rsid w:val="00E2384F"/>
    <w:rsid w:val="00E3500E"/>
    <w:rsid w:val="00E64CB5"/>
    <w:rsid w:val="00E86161"/>
    <w:rsid w:val="00EA128E"/>
    <w:rsid w:val="00EA6989"/>
    <w:rsid w:val="00EB0191"/>
    <w:rsid w:val="00EB4F95"/>
    <w:rsid w:val="00EB5614"/>
    <w:rsid w:val="00EC2ABE"/>
    <w:rsid w:val="00EE08D6"/>
    <w:rsid w:val="00EF539F"/>
    <w:rsid w:val="00F179E6"/>
    <w:rsid w:val="00F25A26"/>
    <w:rsid w:val="00F36422"/>
    <w:rsid w:val="00F44DA9"/>
    <w:rsid w:val="00F514F6"/>
    <w:rsid w:val="00F5189D"/>
    <w:rsid w:val="00F66CB5"/>
    <w:rsid w:val="00F801C1"/>
    <w:rsid w:val="00F82539"/>
    <w:rsid w:val="00F84B4D"/>
    <w:rsid w:val="00FA625E"/>
    <w:rsid w:val="00FA781C"/>
    <w:rsid w:val="00FB5559"/>
    <w:rsid w:val="00FD021B"/>
    <w:rsid w:val="00FD039C"/>
    <w:rsid w:val="00FF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B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08B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308B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semiHidden/>
    <w:rsid w:val="007308BE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7308B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Hewlett-Packard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</dc:creator>
  <cp:lastModifiedBy>Nouf</cp:lastModifiedBy>
  <cp:revision>1</cp:revision>
  <dcterms:created xsi:type="dcterms:W3CDTF">2012-12-18T12:09:00Z</dcterms:created>
  <dcterms:modified xsi:type="dcterms:W3CDTF">2012-12-18T12:10:00Z</dcterms:modified>
</cp:coreProperties>
</file>