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67" w:rsidRPr="00384867" w:rsidRDefault="00384867" w:rsidP="00384867">
      <w:pPr>
        <w:jc w:val="center"/>
        <w:rPr>
          <w:rFonts w:ascii="Segoe UI" w:hAnsi="Segoe UI" w:cs="Segoe UI"/>
          <w:b/>
          <w:bCs/>
          <w:color w:val="D99594" w:themeColor="accent2" w:themeTint="99"/>
          <w:sz w:val="32"/>
          <w:szCs w:val="32"/>
        </w:rPr>
      </w:pPr>
      <w:r w:rsidRPr="00384867">
        <w:rPr>
          <w:rFonts w:ascii="Segoe UI" w:hAnsi="Segoe UI" w:cs="Segoe UI"/>
          <w:b/>
          <w:bCs/>
          <w:color w:val="D99594" w:themeColor="accent2" w:themeTint="99"/>
          <w:sz w:val="32"/>
          <w:szCs w:val="32"/>
          <w:rtl/>
        </w:rPr>
        <w:t>مقدمة في الإعلام والاتصال</w:t>
      </w:r>
    </w:p>
    <w:p w:rsidR="00384867" w:rsidRPr="00384867" w:rsidRDefault="00384867" w:rsidP="00384867">
      <w:pPr>
        <w:rPr>
          <w:rFonts w:ascii="Segoe UI" w:hAnsi="Segoe UI" w:cs="Segoe UI"/>
          <w:color w:val="000000" w:themeColor="text1"/>
          <w:sz w:val="32"/>
          <w:szCs w:val="32"/>
          <w:rtl/>
        </w:rPr>
      </w:pPr>
      <w:r w:rsidRPr="00384867">
        <w:rPr>
          <w:rFonts w:ascii="Segoe UI" w:hAnsi="Segoe UI" w:cs="Segoe UI"/>
          <w:color w:val="000000" w:themeColor="text1"/>
          <w:sz w:val="32"/>
          <w:szCs w:val="32"/>
          <w:rtl/>
        </w:rPr>
        <w:t>عدد الساعات:3</w:t>
      </w:r>
    </w:p>
    <w:p w:rsidR="00384867" w:rsidRPr="00384867" w:rsidRDefault="00384867" w:rsidP="00384867">
      <w:pPr>
        <w:rPr>
          <w:rFonts w:ascii="Segoe UI" w:hAnsi="Segoe UI" w:cs="Segoe UI"/>
          <w:color w:val="000000" w:themeColor="text1"/>
          <w:sz w:val="32"/>
          <w:szCs w:val="32"/>
          <w:rtl/>
        </w:rPr>
      </w:pPr>
      <w:r w:rsidRPr="00384867">
        <w:rPr>
          <w:rFonts w:ascii="Segoe UI" w:hAnsi="Segoe UI" w:cs="Segoe UI"/>
          <w:color w:val="000000" w:themeColor="text1"/>
          <w:sz w:val="32"/>
          <w:szCs w:val="32"/>
          <w:rtl/>
        </w:rPr>
        <w:t>أستاذة المقرر: سارة العتيبي</w:t>
      </w:r>
    </w:p>
    <w:p w:rsidR="00384867" w:rsidRPr="00384867" w:rsidRDefault="00384867" w:rsidP="00384867">
      <w:pPr>
        <w:rPr>
          <w:rFonts w:ascii="Segoe UI" w:hAnsi="Segoe UI" w:cs="Segoe UI"/>
          <w:b/>
          <w:bCs/>
          <w:color w:val="D99594" w:themeColor="accent2" w:themeTint="99"/>
          <w:sz w:val="32"/>
          <w:szCs w:val="32"/>
          <w:rtl/>
        </w:rPr>
      </w:pPr>
      <w:r w:rsidRPr="00384867">
        <w:rPr>
          <w:rFonts w:ascii="Segoe UI" w:hAnsi="Segoe UI" w:cs="Segoe UI"/>
          <w:b/>
          <w:bCs/>
          <w:color w:val="D99594" w:themeColor="accent2" w:themeTint="99"/>
          <w:sz w:val="32"/>
          <w:szCs w:val="32"/>
          <w:rtl/>
        </w:rPr>
        <w:t>أهداف المقرر:</w:t>
      </w:r>
    </w:p>
    <w:p w:rsidR="00384867" w:rsidRPr="00384867" w:rsidRDefault="00384867" w:rsidP="00384867">
      <w:pPr>
        <w:pStyle w:val="ListParagraph"/>
        <w:numPr>
          <w:ilvl w:val="0"/>
          <w:numId w:val="1"/>
        </w:numPr>
        <w:rPr>
          <w:rFonts w:ascii="Segoe UI" w:hAnsi="Segoe UI" w:cs="Segoe UI"/>
          <w:color w:val="020203"/>
          <w:sz w:val="32"/>
          <w:szCs w:val="32"/>
          <w:rtl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تعريف الطالبة بمفهوم الاتصال والإعلام وتعريفها بوسائلهما </w:t>
      </w:r>
    </w:p>
    <w:p w:rsidR="00384867" w:rsidRPr="00384867" w:rsidRDefault="00384867" w:rsidP="00384867">
      <w:pPr>
        <w:pStyle w:val="ListParagraph"/>
        <w:numPr>
          <w:ilvl w:val="0"/>
          <w:numId w:val="1"/>
        </w:numPr>
        <w:rPr>
          <w:rFonts w:ascii="Segoe UI" w:hAnsi="Segoe UI" w:cs="Segoe UI"/>
          <w:color w:val="020203"/>
          <w:sz w:val="32"/>
          <w:szCs w:val="32"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>- التعرف على أسس ومبادئ التعامل مع هذه الوسائل وفهم خصائصها وتأثيرها على المجتمع</w:t>
      </w:r>
    </w:p>
    <w:p w:rsidR="00384867" w:rsidRPr="00384867" w:rsidRDefault="00384867" w:rsidP="00384867">
      <w:pPr>
        <w:pStyle w:val="ListParagraph"/>
        <w:numPr>
          <w:ilvl w:val="0"/>
          <w:numId w:val="1"/>
        </w:numPr>
        <w:rPr>
          <w:rFonts w:ascii="Segoe UI" w:hAnsi="Segoe UI" w:cs="Segoe UI"/>
          <w:color w:val="020203"/>
          <w:sz w:val="32"/>
          <w:szCs w:val="32"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- الدفع نحو التعامل الإيجابي معها والاستفادة منها 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</w:r>
      <w:r w:rsidRPr="00384867">
        <w:rPr>
          <w:rFonts w:ascii="Segoe UI" w:hAnsi="Segoe UI" w:cs="Segoe UI"/>
          <w:b/>
          <w:bCs/>
          <w:color w:val="D99594" w:themeColor="accent2" w:themeTint="99"/>
          <w:sz w:val="32"/>
          <w:szCs w:val="32"/>
          <w:rtl/>
        </w:rPr>
        <w:t>المفردات :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 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  <w:t>1- تعريف الاتصال .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  <w:t xml:space="preserve">2- تعريف الإعلام . 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  <w:t xml:space="preserve">3- عناصر العملية الاتصالية : المرسل – المستقبل – الرسالة – الوسيلة – رجع الصدى 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  <w:t>4- أنواع الاتصال : شخصي – جمعي – جماهيري</w:t>
      </w:r>
      <w:r w:rsidRPr="00384867">
        <w:rPr>
          <w:rFonts w:ascii="Segoe UI" w:hAnsi="Segoe UI" w:cs="Segoe UI"/>
          <w:color w:val="020203"/>
          <w:sz w:val="32"/>
          <w:szCs w:val="32"/>
          <w:rtl/>
        </w:rPr>
        <w:br/>
        <w:t>5-نماذج الاتصال: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color w:val="020203"/>
          <w:sz w:val="32"/>
          <w:szCs w:val="32"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6-وسائل الإعلام التقليدي ووسائله الحديثة  </w:t>
      </w:r>
    </w:p>
    <w:p w:rsidR="00384867" w:rsidRPr="00384867" w:rsidRDefault="00384867" w:rsidP="00384867">
      <w:pPr>
        <w:rPr>
          <w:rFonts w:ascii="Segoe UI" w:hAnsi="Segoe UI" w:cs="Segoe UI"/>
          <w:color w:val="020203"/>
          <w:sz w:val="32"/>
          <w:szCs w:val="32"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       7- الاتصال الإقناعي (الدعاية –الإعلان- العلاقات العامة)</w:t>
      </w:r>
    </w:p>
    <w:p w:rsidR="00384867" w:rsidRPr="00384867" w:rsidRDefault="00384867" w:rsidP="00384867">
      <w:pPr>
        <w:pStyle w:val="ListParagraph"/>
        <w:rPr>
          <w:rFonts w:ascii="Segoe UI" w:hAnsi="Segoe UI" w:cs="Segoe UI"/>
          <w:color w:val="020203"/>
          <w:sz w:val="32"/>
          <w:szCs w:val="32"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>8- وظائف الإعلام وتأثيره في المجتمع</w:t>
      </w:r>
    </w:p>
    <w:p w:rsidR="00384867" w:rsidRPr="00384867" w:rsidRDefault="00384867" w:rsidP="00384867">
      <w:pPr>
        <w:pStyle w:val="ListParagraph"/>
        <w:rPr>
          <w:rFonts w:ascii="Segoe UI" w:hAnsi="Segoe UI" w:cs="Segoe UI"/>
          <w:color w:val="020203"/>
          <w:sz w:val="32"/>
          <w:szCs w:val="32"/>
          <w:rtl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9- مفاهيم الإعلام 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color w:val="020203"/>
          <w:sz w:val="32"/>
          <w:szCs w:val="32"/>
          <w:rtl/>
        </w:rPr>
        <w:t xml:space="preserve">المراجع </w:t>
      </w:r>
      <w:r w:rsidRPr="00384867">
        <w:rPr>
          <w:rFonts w:ascii="Segoe UI" w:hAnsi="Segoe UI" w:cs="Segoe UI"/>
          <w:sz w:val="32"/>
          <w:szCs w:val="32"/>
          <w:rtl/>
        </w:rPr>
        <w:t>: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t>الاتصال الجماهيري –صالح خليل أبو إصبع . الاردن الطبعة الاولى 1999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t>مقدمة في  الاتصال الجماهيري المداخل والوسائل-حسني محمد نصر الطبعة الاولى 2001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t>المدخل في الاتصال الجماهيري عصام سليمان موسى الطبعة الرابعة 1998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lastRenderedPageBreak/>
        <w:t>الاتصال والإعلام في المجتمعات المعاصرة –صالح خليل أبو إصبع عمان الطبعة الخامسة 2004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t>الإعلام مفاهيم – علي النجعي الطبعة الثانية 1416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color w:val="C00000"/>
          <w:sz w:val="32"/>
          <w:szCs w:val="32"/>
          <w:rtl/>
        </w:rPr>
      </w:pPr>
      <w:r w:rsidRPr="00384867">
        <w:rPr>
          <w:rFonts w:ascii="Segoe UI" w:hAnsi="Segoe UI" w:cs="Segoe UI"/>
          <w:sz w:val="32"/>
          <w:szCs w:val="32"/>
          <w:rtl/>
        </w:rPr>
        <w:t>دور الإعلام والتعليم في تنمية الأسرة العربية الرياض 2005</w:t>
      </w: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color w:val="C00000"/>
          <w:sz w:val="32"/>
          <w:szCs w:val="32"/>
          <w:rtl/>
        </w:rPr>
      </w:pPr>
      <w:r w:rsidRPr="00384867">
        <w:rPr>
          <w:rFonts w:ascii="Segoe UI" w:hAnsi="Segoe UI" w:cs="Segoe UI"/>
          <w:color w:val="C00000"/>
          <w:sz w:val="32"/>
          <w:szCs w:val="32"/>
          <w:rtl/>
        </w:rPr>
        <w:t>تقسيم الدرجات :</w:t>
      </w:r>
    </w:p>
    <w:tbl>
      <w:tblPr>
        <w:tblStyle w:val="TableGrid"/>
        <w:bidiVisual/>
        <w:tblW w:w="0" w:type="auto"/>
        <w:tblInd w:w="780" w:type="dxa"/>
        <w:tblLayout w:type="fixed"/>
        <w:tblLook w:val="04A0"/>
      </w:tblPr>
      <w:tblGrid>
        <w:gridCol w:w="1656"/>
        <w:gridCol w:w="1489"/>
        <w:gridCol w:w="2646"/>
        <w:gridCol w:w="1951"/>
      </w:tblGrid>
      <w:tr w:rsidR="00384867" w:rsidRPr="00384867" w:rsidTr="00384867">
        <w:trPr>
          <w:trHeight w:val="108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384867" w:rsidRPr="00384867" w:rsidRDefault="00384867">
            <w:pPr>
              <w:pStyle w:val="ListParagraph"/>
              <w:ind w:left="0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الحضور والمشاركة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384867" w:rsidRPr="00384867" w:rsidRDefault="00384867">
            <w:pPr>
              <w:pStyle w:val="ListParagraph"/>
              <w:ind w:left="0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النشاط العملي أو البحث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384867" w:rsidRPr="00384867" w:rsidRDefault="00384867">
            <w:pPr>
              <w:pStyle w:val="ListParagraph"/>
              <w:ind w:left="0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 xml:space="preserve">الاختبارات الفصلية </w:t>
            </w: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384867" w:rsidRPr="00384867" w:rsidRDefault="00384867">
            <w:pPr>
              <w:pStyle w:val="ListParagraph"/>
              <w:ind w:left="0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اختبار أعمال السنة</w:t>
            </w:r>
          </w:p>
        </w:tc>
      </w:tr>
      <w:tr w:rsidR="00384867" w:rsidRPr="00384867" w:rsidTr="00384867">
        <w:trPr>
          <w:trHeight w:val="651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867" w:rsidRPr="00384867" w:rsidRDefault="00384867">
            <w:pPr>
              <w:pStyle w:val="ListParagraph"/>
              <w:ind w:left="0"/>
              <w:jc w:val="center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867" w:rsidRPr="00384867" w:rsidRDefault="00384867">
            <w:pPr>
              <w:pStyle w:val="ListParagraph"/>
              <w:ind w:left="0"/>
              <w:jc w:val="center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10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867" w:rsidRPr="00384867" w:rsidRDefault="00384867" w:rsidP="00726B39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867" w:rsidRPr="00384867" w:rsidRDefault="00384867">
            <w:pPr>
              <w:pStyle w:val="ListParagraph"/>
              <w:ind w:left="0"/>
              <w:jc w:val="center"/>
              <w:rPr>
                <w:rFonts w:ascii="Segoe UI" w:hAnsi="Segoe UI" w:cs="Segoe UI"/>
                <w:sz w:val="32"/>
                <w:szCs w:val="32"/>
              </w:rPr>
            </w:pPr>
            <w:r w:rsidRPr="00384867">
              <w:rPr>
                <w:rFonts w:ascii="Segoe UI" w:hAnsi="Segoe UI" w:cs="Segoe UI"/>
                <w:sz w:val="32"/>
                <w:szCs w:val="32"/>
                <w:rtl/>
              </w:rPr>
              <w:t>60</w:t>
            </w:r>
          </w:p>
        </w:tc>
      </w:tr>
    </w:tbl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2"/>
          <w:szCs w:val="32"/>
          <w:rtl/>
        </w:rPr>
      </w:pP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6"/>
          <w:szCs w:val="36"/>
          <w:rtl/>
        </w:rPr>
      </w:pP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6"/>
          <w:szCs w:val="36"/>
          <w:rtl/>
        </w:rPr>
      </w:pPr>
    </w:p>
    <w:p w:rsidR="00384867" w:rsidRPr="00384867" w:rsidRDefault="00384867" w:rsidP="00384867">
      <w:pPr>
        <w:pStyle w:val="ListParagraph"/>
        <w:ind w:left="780"/>
        <w:rPr>
          <w:rFonts w:ascii="Segoe UI" w:hAnsi="Segoe UI" w:cs="Segoe UI"/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84867" w:rsidRDefault="00384867" w:rsidP="00384867">
      <w:pPr>
        <w:pStyle w:val="ListParagraph"/>
        <w:ind w:left="780"/>
        <w:rPr>
          <w:sz w:val="36"/>
          <w:szCs w:val="36"/>
          <w:rtl/>
        </w:rPr>
      </w:pPr>
    </w:p>
    <w:p w:rsidR="00370870" w:rsidRDefault="00370870">
      <w:pPr>
        <w:rPr>
          <w:rFonts w:hint="cs"/>
        </w:rPr>
      </w:pPr>
    </w:p>
    <w:sectPr w:rsidR="00370870" w:rsidSect="00714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E6590"/>
    <w:multiLevelType w:val="hybridMultilevel"/>
    <w:tmpl w:val="C5165354"/>
    <w:lvl w:ilvl="0" w:tplc="07E2B9C8">
      <w:start w:val="1"/>
      <w:numFmt w:val="decimal"/>
      <w:lvlText w:val="%1-"/>
      <w:lvlJc w:val="left"/>
      <w:pPr>
        <w:ind w:left="78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1B5A9F"/>
    <w:multiLevelType w:val="hybridMultilevel"/>
    <w:tmpl w:val="9418D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384867"/>
    <w:rsid w:val="00370870"/>
    <w:rsid w:val="00384867"/>
    <w:rsid w:val="0071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8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67"/>
    <w:pPr>
      <w:ind w:left="720"/>
      <w:contextualSpacing/>
    </w:pPr>
  </w:style>
  <w:style w:type="table" w:styleId="TableGrid">
    <w:name w:val="Table Grid"/>
    <w:basedOn w:val="TableNormal"/>
    <w:uiPriority w:val="59"/>
    <w:rsid w:val="0038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</Words>
  <Characters>978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MediaLab5-15</dc:creator>
  <cp:lastModifiedBy>MediaLab5-15</cp:lastModifiedBy>
  <cp:revision>1</cp:revision>
  <dcterms:created xsi:type="dcterms:W3CDTF">2013-09-17T09:21:00Z</dcterms:created>
  <dcterms:modified xsi:type="dcterms:W3CDTF">2013-09-17T09:25:00Z</dcterms:modified>
</cp:coreProperties>
</file>