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Default="00E13A76">
      <w:pPr>
        <w:rPr>
          <w:rFonts w:hint="cs"/>
          <w:rtl/>
        </w:rPr>
      </w:pPr>
    </w:p>
    <w:p w:rsidR="004E10EA" w:rsidRPr="004E10EA" w:rsidRDefault="004E10EA" w:rsidP="004E10EA">
      <w:pPr>
        <w:shd w:val="clear" w:color="auto" w:fill="FFFFFF"/>
        <w:bidi/>
        <w:spacing w:before="100" w:beforeAutospacing="1" w:after="100" w:afterAutospacing="1" w:line="240" w:lineRule="auto"/>
        <w:outlineLvl w:val="1"/>
        <w:rPr>
          <w:rFonts w:ascii="Times New Roman" w:eastAsia="Times New Roman" w:hAnsi="Times New Roman" w:cs="Times New Roman"/>
          <w:b/>
          <w:bCs/>
          <w:sz w:val="36"/>
          <w:szCs w:val="36"/>
        </w:rPr>
      </w:pPr>
      <w:r w:rsidRPr="004E10EA">
        <w:rPr>
          <w:rFonts w:ascii="Times New Roman" w:eastAsia="Times New Roman" w:hAnsi="Times New Roman" w:cs="Times New Roman"/>
          <w:b/>
          <w:bCs/>
          <w:sz w:val="36"/>
          <w:szCs w:val="36"/>
          <w:rtl/>
        </w:rPr>
        <w:t>مصر البلد الأكثر استهدافا وقطر المشتري الأكثر نشاطا</w:t>
      </w:r>
    </w:p>
    <w:p w:rsidR="004E10EA" w:rsidRPr="004E10EA" w:rsidRDefault="004E10EA" w:rsidP="004E10EA">
      <w:pPr>
        <w:shd w:val="clear" w:color="auto" w:fill="FFFFFF"/>
        <w:bidi/>
        <w:spacing w:before="100" w:beforeAutospacing="1" w:after="100" w:afterAutospacing="1" w:line="240" w:lineRule="auto"/>
        <w:outlineLvl w:val="0"/>
        <w:rPr>
          <w:rFonts w:ascii="Times New Roman" w:eastAsia="Times New Roman" w:hAnsi="Times New Roman" w:cs="Times New Roman"/>
          <w:b/>
          <w:bCs/>
          <w:kern w:val="36"/>
          <w:sz w:val="48"/>
          <w:szCs w:val="48"/>
          <w:rtl/>
        </w:rPr>
      </w:pPr>
      <w:r w:rsidRPr="004E10EA">
        <w:rPr>
          <w:rFonts w:ascii="Times New Roman" w:eastAsia="Times New Roman" w:hAnsi="Times New Roman" w:cs="Times New Roman"/>
          <w:b/>
          <w:bCs/>
          <w:kern w:val="36"/>
          <w:sz w:val="48"/>
          <w:szCs w:val="48"/>
          <w:rtl/>
        </w:rPr>
        <w:t>نشاط قياسي لعمليات الاندماج والاستحواذ في المنطقة العربية</w:t>
      </w:r>
    </w:p>
    <w:p w:rsidR="004E10EA" w:rsidRPr="004E10EA" w:rsidRDefault="004E10EA" w:rsidP="004E10EA">
      <w:pPr>
        <w:shd w:val="clear" w:color="auto" w:fill="FFFFFF"/>
        <w:bidi/>
        <w:spacing w:after="0" w:line="240" w:lineRule="auto"/>
        <w:rPr>
          <w:rFonts w:ascii="Tahoma" w:eastAsia="Times New Roman" w:hAnsi="Tahoma" w:cs="Tahoma"/>
          <w:rtl/>
        </w:rPr>
      </w:pPr>
      <w:proofErr w:type="spellStart"/>
      <w:r w:rsidRPr="004E10EA">
        <w:rPr>
          <w:rFonts w:ascii="Tahoma" w:eastAsia="Times New Roman" w:hAnsi="Tahoma" w:cs="Tahoma"/>
          <w:rtl/>
        </w:rPr>
        <w:t>سيميون</w:t>
      </w:r>
      <w:proofErr w:type="spellEnd"/>
      <w:r w:rsidRPr="004E10EA">
        <w:rPr>
          <w:rFonts w:ascii="Tahoma" w:eastAsia="Times New Roman" w:hAnsi="Tahoma" w:cs="Tahoma"/>
          <w:rtl/>
        </w:rPr>
        <w:t xml:space="preserve"> كير وكاملا هول من </w:t>
      </w:r>
      <w:proofErr w:type="spellStart"/>
      <w:r w:rsidRPr="004E10EA">
        <w:rPr>
          <w:rFonts w:ascii="Tahoma" w:eastAsia="Times New Roman" w:hAnsi="Tahoma" w:cs="Tahoma"/>
          <w:rtl/>
        </w:rPr>
        <w:t>أبوظبي</w:t>
      </w:r>
      <w:proofErr w:type="spellEnd"/>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 xml:space="preserve">يأمل مصرفيون في الشرق الأوسط أن تؤدي زيادة عمليات الاندماج والاستحواذ الإقليمية في العام الماضي إلى عودة تدفق الصفقات بشكل مطرد هذا العام، خصوصا مع تطلع مستثمري الخليج إلى منطقتهم لتحقيق النمو.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ويأتي تفاؤل المصرفيين من ارتفاع قيمة صفقات الاندماج والاستحواذ في الشرق الأوسط إلى 20 مليار دولار في عام 2012، وهي ضعف قيمة الصفقات المسجلة عام 2011 التي بلغت تسعة مليارات دولار، ما يجعلها أقوى سنة منذ عام 2008، وفقا لبيانات "</w:t>
      </w:r>
      <w:proofErr w:type="spellStart"/>
      <w:r w:rsidRPr="004E10EA">
        <w:rPr>
          <w:rFonts w:ascii="Arial" w:eastAsia="Times New Roman" w:hAnsi="Arial" w:cs="Arial"/>
          <w:b/>
          <w:bCs/>
          <w:sz w:val="26"/>
          <w:szCs w:val="26"/>
          <w:rtl/>
        </w:rPr>
        <w:t>تومسون</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رويترز</w:t>
      </w:r>
      <w:proofErr w:type="spellEnd"/>
      <w:r w:rsidRPr="004E10EA">
        <w:rPr>
          <w:rFonts w:ascii="Arial" w:eastAsia="Times New Roman" w:hAnsi="Arial" w:cs="Arial"/>
          <w:b/>
          <w:bCs/>
          <w:sz w:val="26"/>
          <w:szCs w:val="26"/>
          <w:rtl/>
        </w:rPr>
        <w:t xml:space="preserve">".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4E10EA">
        <w:rPr>
          <w:rFonts w:ascii="Arial" w:eastAsia="Times New Roman" w:hAnsi="Arial" w:cs="Arial"/>
          <w:b/>
          <w:bCs/>
          <w:sz w:val="26"/>
          <w:szCs w:val="26"/>
          <w:rtl/>
        </w:rPr>
        <w:t>وتعتمد</w:t>
      </w:r>
      <w:proofErr w:type="gramEnd"/>
      <w:r w:rsidRPr="004E10EA">
        <w:rPr>
          <w:rFonts w:ascii="Arial" w:eastAsia="Times New Roman" w:hAnsi="Arial" w:cs="Arial"/>
          <w:b/>
          <w:bCs/>
          <w:sz w:val="26"/>
          <w:szCs w:val="26"/>
          <w:rtl/>
        </w:rPr>
        <w:t xml:space="preserve"> مصارف الاستثمار الأجنبية في الخليج، الواقعة تحت ضغط من مقارها الرئيسة، على هذه الأنواع من الصفقات لتبرير حجم وجودها في المنطقة. </w:t>
      </w:r>
      <w:proofErr w:type="gramStart"/>
      <w:r w:rsidRPr="004E10EA">
        <w:rPr>
          <w:rFonts w:ascii="Arial" w:eastAsia="Times New Roman" w:hAnsi="Arial" w:cs="Arial"/>
          <w:b/>
          <w:bCs/>
          <w:sz w:val="26"/>
          <w:szCs w:val="26"/>
          <w:rtl/>
        </w:rPr>
        <w:t>ومع</w:t>
      </w:r>
      <w:proofErr w:type="gramEnd"/>
      <w:r w:rsidRPr="004E10EA">
        <w:rPr>
          <w:rFonts w:ascii="Arial" w:eastAsia="Times New Roman" w:hAnsi="Arial" w:cs="Arial"/>
          <w:b/>
          <w:bCs/>
          <w:sz w:val="26"/>
          <w:szCs w:val="26"/>
          <w:rtl/>
        </w:rPr>
        <w:t xml:space="preserve"> ذلك خفض كثير منها عدد الموظفين، وما زال يبحثون عن خفض التكاليف.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4E10EA">
        <w:rPr>
          <w:rFonts w:ascii="Arial" w:eastAsia="Times New Roman" w:hAnsi="Arial" w:cs="Arial"/>
          <w:b/>
          <w:bCs/>
          <w:sz w:val="26"/>
          <w:szCs w:val="26"/>
          <w:rtl/>
        </w:rPr>
        <w:t>لكن</w:t>
      </w:r>
      <w:proofErr w:type="gramEnd"/>
      <w:r w:rsidRPr="004E10EA">
        <w:rPr>
          <w:rFonts w:ascii="Arial" w:eastAsia="Times New Roman" w:hAnsi="Arial" w:cs="Arial"/>
          <w:b/>
          <w:bCs/>
          <w:sz w:val="26"/>
          <w:szCs w:val="26"/>
          <w:rtl/>
        </w:rPr>
        <w:t xml:space="preserve"> مختصين في القطاع المالي يبدون ارتياحا لسلسلة صفقات تمت أخيرا، بما في ذلك شراء اثنين من المصارف الخليجية العمليات المصرية في مصارف أوروبية تسعى إلى جمع أموال لدعم ميزانياتها العمومية.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 xml:space="preserve">وكان هناك أيضا بعض النشاط في سوق العقارات الخليجية، ففي </w:t>
      </w:r>
      <w:proofErr w:type="spellStart"/>
      <w:r w:rsidRPr="004E10EA">
        <w:rPr>
          <w:rFonts w:ascii="Arial" w:eastAsia="Times New Roman" w:hAnsi="Arial" w:cs="Arial"/>
          <w:b/>
          <w:bCs/>
          <w:sz w:val="26"/>
          <w:szCs w:val="26"/>
          <w:rtl/>
        </w:rPr>
        <w:t>أبوظبي</w:t>
      </w:r>
      <w:proofErr w:type="spellEnd"/>
      <w:r w:rsidRPr="004E10EA">
        <w:rPr>
          <w:rFonts w:ascii="Arial" w:eastAsia="Times New Roman" w:hAnsi="Arial" w:cs="Arial"/>
          <w:b/>
          <w:bCs/>
          <w:sz w:val="26"/>
          <w:szCs w:val="26"/>
          <w:rtl/>
        </w:rPr>
        <w:t xml:space="preserve"> حدث بعض التقدم الشهر الماضي في عملية اندماج بين شركتي الدار وصروح المتعثرتين.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4E10EA">
        <w:rPr>
          <w:rFonts w:ascii="Arial" w:eastAsia="Times New Roman" w:hAnsi="Arial" w:cs="Arial"/>
          <w:b/>
          <w:bCs/>
          <w:sz w:val="26"/>
          <w:szCs w:val="26"/>
          <w:rtl/>
        </w:rPr>
        <w:t>لكن</w:t>
      </w:r>
      <w:proofErr w:type="gramEnd"/>
      <w:r w:rsidRPr="004E10EA">
        <w:rPr>
          <w:rFonts w:ascii="Arial" w:eastAsia="Times New Roman" w:hAnsi="Arial" w:cs="Arial"/>
          <w:b/>
          <w:bCs/>
          <w:sz w:val="26"/>
          <w:szCs w:val="26"/>
          <w:rtl/>
        </w:rPr>
        <w:t xml:space="preserve"> الارتفاع كان مدفوعا إلى حد كبير من قبل قطاع الاتصالات الذي مثل نحو ثلث الصفقات. وكانت مصر البلد الأكثر استهدافا العام الماضي، وقطر المشتري الأكثر نشاطا، حسبما ذكر تقرير أعده </w:t>
      </w:r>
      <w:proofErr w:type="spellStart"/>
      <w:r w:rsidRPr="004E10EA">
        <w:rPr>
          <w:rFonts w:ascii="Arial" w:eastAsia="Times New Roman" w:hAnsi="Arial" w:cs="Arial"/>
          <w:b/>
          <w:bCs/>
          <w:sz w:val="26"/>
          <w:szCs w:val="26"/>
          <w:rtl/>
        </w:rPr>
        <w:t>راسيل</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هاوورث</w:t>
      </w:r>
      <w:proofErr w:type="spellEnd"/>
      <w:r w:rsidRPr="004E10EA">
        <w:rPr>
          <w:rFonts w:ascii="Arial" w:eastAsia="Times New Roman" w:hAnsi="Arial" w:cs="Arial"/>
          <w:b/>
          <w:bCs/>
          <w:sz w:val="26"/>
          <w:szCs w:val="26"/>
          <w:rtl/>
        </w:rPr>
        <w:t>، مدير الإدارة الإقليمية لـ "</w:t>
      </w:r>
      <w:proofErr w:type="spellStart"/>
      <w:r w:rsidRPr="004E10EA">
        <w:rPr>
          <w:rFonts w:ascii="Arial" w:eastAsia="Times New Roman" w:hAnsi="Arial" w:cs="Arial"/>
          <w:b/>
          <w:bCs/>
          <w:sz w:val="26"/>
          <w:szCs w:val="26"/>
          <w:rtl/>
        </w:rPr>
        <w:t>تومسون</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رويترز</w:t>
      </w:r>
      <w:proofErr w:type="spellEnd"/>
      <w:r w:rsidRPr="004E10EA">
        <w:rPr>
          <w:rFonts w:ascii="Arial" w:eastAsia="Times New Roman" w:hAnsi="Arial" w:cs="Arial"/>
          <w:b/>
          <w:bCs/>
          <w:sz w:val="26"/>
          <w:szCs w:val="26"/>
          <w:rtl/>
        </w:rPr>
        <w:t xml:space="preserve">".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 xml:space="preserve">وشملت صفقات الاتصالات الكبيرة استحواذ شركة </w:t>
      </w:r>
      <w:proofErr w:type="spellStart"/>
      <w:r w:rsidRPr="004E10EA">
        <w:rPr>
          <w:rFonts w:ascii="Arial" w:eastAsia="Times New Roman" w:hAnsi="Arial" w:cs="Arial"/>
          <w:b/>
          <w:bCs/>
          <w:sz w:val="26"/>
          <w:szCs w:val="26"/>
          <w:rtl/>
        </w:rPr>
        <w:t>فرانس</w:t>
      </w:r>
      <w:proofErr w:type="spellEnd"/>
      <w:r w:rsidRPr="004E10EA">
        <w:rPr>
          <w:rFonts w:ascii="Arial" w:eastAsia="Times New Roman" w:hAnsi="Arial" w:cs="Arial"/>
          <w:b/>
          <w:bCs/>
          <w:sz w:val="26"/>
          <w:szCs w:val="26"/>
          <w:rtl/>
        </w:rPr>
        <w:t xml:space="preserve"> تيليكوم </w:t>
      </w:r>
      <w:proofErr w:type="spellStart"/>
      <w:r w:rsidRPr="004E10EA">
        <w:rPr>
          <w:rFonts w:ascii="Arial" w:eastAsia="Times New Roman" w:hAnsi="Arial" w:cs="Arial"/>
          <w:b/>
          <w:bCs/>
          <w:sz w:val="26"/>
          <w:szCs w:val="26"/>
          <w:rtl/>
        </w:rPr>
        <w:t>أورانج</w:t>
      </w:r>
      <w:proofErr w:type="spellEnd"/>
      <w:r w:rsidRPr="004E10EA">
        <w:rPr>
          <w:rFonts w:ascii="Arial" w:eastAsia="Times New Roman" w:hAnsi="Arial" w:cs="Arial"/>
          <w:b/>
          <w:bCs/>
          <w:sz w:val="26"/>
          <w:szCs w:val="26"/>
          <w:rtl/>
        </w:rPr>
        <w:t xml:space="preserve"> على شركة </w:t>
      </w:r>
      <w:proofErr w:type="spellStart"/>
      <w:r w:rsidRPr="004E10EA">
        <w:rPr>
          <w:rFonts w:ascii="Arial" w:eastAsia="Times New Roman" w:hAnsi="Arial" w:cs="Arial"/>
          <w:b/>
          <w:bCs/>
          <w:sz w:val="26"/>
          <w:szCs w:val="26"/>
          <w:rtl/>
        </w:rPr>
        <w:t>موبينيل</w:t>
      </w:r>
      <w:proofErr w:type="spellEnd"/>
      <w:r w:rsidRPr="004E10EA">
        <w:rPr>
          <w:rFonts w:ascii="Arial" w:eastAsia="Times New Roman" w:hAnsi="Arial" w:cs="Arial"/>
          <w:b/>
          <w:bCs/>
          <w:sz w:val="26"/>
          <w:szCs w:val="26"/>
          <w:rtl/>
        </w:rPr>
        <w:t xml:space="preserve"> في مصر، في حين رفعت شركة الاتصالات القطرية حصتها في "الوطنية" الكويتية و"</w:t>
      </w:r>
      <w:proofErr w:type="spellStart"/>
      <w:r w:rsidRPr="004E10EA">
        <w:rPr>
          <w:rFonts w:ascii="Arial" w:eastAsia="Times New Roman" w:hAnsi="Arial" w:cs="Arial"/>
          <w:b/>
          <w:bCs/>
          <w:sz w:val="26"/>
          <w:szCs w:val="26"/>
          <w:rtl/>
        </w:rPr>
        <w:t>آسياسيل</w:t>
      </w:r>
      <w:proofErr w:type="spellEnd"/>
      <w:r w:rsidRPr="004E10EA">
        <w:rPr>
          <w:rFonts w:ascii="Arial" w:eastAsia="Times New Roman" w:hAnsi="Arial" w:cs="Arial"/>
          <w:b/>
          <w:bCs/>
          <w:sz w:val="26"/>
          <w:szCs w:val="26"/>
          <w:rtl/>
        </w:rPr>
        <w:t xml:space="preserve">" العراقية.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ومع أن البيانات تختلف في كثير من الأحيان بخصوص عمليات الاندماج والاستحواذ، إلا أن "</w:t>
      </w:r>
      <w:proofErr w:type="spellStart"/>
      <w:r w:rsidRPr="004E10EA">
        <w:rPr>
          <w:rFonts w:ascii="Arial" w:eastAsia="Times New Roman" w:hAnsi="Arial" w:cs="Arial"/>
          <w:b/>
          <w:bCs/>
          <w:sz w:val="26"/>
          <w:szCs w:val="26"/>
          <w:rtl/>
        </w:rPr>
        <w:t>ستاندر</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آند</w:t>
      </w:r>
      <w:proofErr w:type="spellEnd"/>
      <w:r w:rsidRPr="004E10EA">
        <w:rPr>
          <w:rFonts w:ascii="Arial" w:eastAsia="Times New Roman" w:hAnsi="Arial" w:cs="Arial"/>
          <w:b/>
          <w:bCs/>
          <w:sz w:val="26"/>
          <w:szCs w:val="26"/>
          <w:rtl/>
        </w:rPr>
        <w:t xml:space="preserve"> بورز </w:t>
      </w:r>
      <w:proofErr w:type="spellStart"/>
      <w:r w:rsidRPr="004E10EA">
        <w:rPr>
          <w:rFonts w:ascii="Arial" w:eastAsia="Times New Roman" w:hAnsi="Arial" w:cs="Arial"/>
          <w:b/>
          <w:bCs/>
          <w:sz w:val="26"/>
          <w:szCs w:val="26"/>
          <w:rtl/>
        </w:rPr>
        <w:t>كابيتال</w:t>
      </w:r>
      <w:proofErr w:type="spellEnd"/>
      <w:r w:rsidRPr="004E10EA">
        <w:rPr>
          <w:rFonts w:ascii="Arial" w:eastAsia="Times New Roman" w:hAnsi="Arial" w:cs="Arial"/>
          <w:b/>
          <w:bCs/>
          <w:sz w:val="26"/>
          <w:szCs w:val="26"/>
          <w:rtl/>
        </w:rPr>
        <w:t xml:space="preserve"> آي </w:t>
      </w:r>
      <w:proofErr w:type="spellStart"/>
      <w:r w:rsidRPr="004E10EA">
        <w:rPr>
          <w:rFonts w:ascii="Arial" w:eastAsia="Times New Roman" w:hAnsi="Arial" w:cs="Arial"/>
          <w:b/>
          <w:bCs/>
          <w:sz w:val="26"/>
          <w:szCs w:val="26"/>
          <w:rtl/>
        </w:rPr>
        <w:t>كيو</w:t>
      </w:r>
      <w:proofErr w:type="spellEnd"/>
      <w:r w:rsidRPr="004E10EA">
        <w:rPr>
          <w:rFonts w:ascii="Arial" w:eastAsia="Times New Roman" w:hAnsi="Arial" w:cs="Arial"/>
          <w:b/>
          <w:bCs/>
          <w:sz w:val="26"/>
          <w:szCs w:val="26"/>
          <w:rtl/>
        </w:rPr>
        <w:t xml:space="preserve">" رصدت أيضا مضاعفة قيمة نشاط الاندماج والاستحواذ الإقليمي، مع ارتفاع عدد الصفقات من 445 عام 2011 إلى 478 في العام الماضي، على الرغم من الاضطرابات الجارية في المنطقة.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 xml:space="preserve">مع ارتفاع أسعار الطاقة التي تملأ خزائن صناديق الثروة السيادية الإقليمية، ظلت الاستثمارات الصادرة ثابتة.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 xml:space="preserve">ولكن لتبرير عدد من المصرفيين المتخصصين في المنطقة، يقول المحللون: إن المعاملات العابرة للحدود والمحلية سوف تحتاج إلى انتعاش مستدام.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 xml:space="preserve">"هناك الآن درجة من الثقة"، كما يقول سكوت </w:t>
      </w:r>
      <w:proofErr w:type="spellStart"/>
      <w:r w:rsidRPr="004E10EA">
        <w:rPr>
          <w:rFonts w:ascii="Arial" w:eastAsia="Times New Roman" w:hAnsi="Arial" w:cs="Arial"/>
          <w:b/>
          <w:bCs/>
          <w:sz w:val="26"/>
          <w:szCs w:val="26"/>
          <w:rtl/>
        </w:rPr>
        <w:t>كامبيل</w:t>
      </w:r>
      <w:proofErr w:type="spellEnd"/>
      <w:r w:rsidRPr="004E10EA">
        <w:rPr>
          <w:rFonts w:ascii="Arial" w:eastAsia="Times New Roman" w:hAnsi="Arial" w:cs="Arial"/>
          <w:b/>
          <w:bCs/>
          <w:sz w:val="26"/>
          <w:szCs w:val="26"/>
          <w:rtl/>
        </w:rPr>
        <w:t xml:space="preserve">، الشريك في شركة المحاماة </w:t>
      </w:r>
      <w:proofErr w:type="spellStart"/>
      <w:r w:rsidRPr="004E10EA">
        <w:rPr>
          <w:rFonts w:ascii="Arial" w:eastAsia="Times New Roman" w:hAnsi="Arial" w:cs="Arial"/>
          <w:b/>
          <w:bCs/>
          <w:sz w:val="26"/>
          <w:szCs w:val="26"/>
          <w:rtl/>
        </w:rPr>
        <w:t>ينكليترز</w:t>
      </w:r>
      <w:proofErr w:type="spellEnd"/>
      <w:r w:rsidRPr="004E10EA">
        <w:rPr>
          <w:rFonts w:ascii="Arial" w:eastAsia="Times New Roman" w:hAnsi="Arial" w:cs="Arial"/>
          <w:b/>
          <w:bCs/>
          <w:sz w:val="26"/>
          <w:szCs w:val="26"/>
          <w:rtl/>
        </w:rPr>
        <w:t xml:space="preserve"> التي مقرها دبي. وأضاف قائلا: إن "الثقة التي عادت إلى شوارع دولة الإمارات العربية المتحدة انتقلت </w:t>
      </w:r>
      <w:proofErr w:type="gramStart"/>
      <w:r w:rsidRPr="004E10EA">
        <w:rPr>
          <w:rFonts w:ascii="Arial" w:eastAsia="Times New Roman" w:hAnsi="Arial" w:cs="Arial"/>
          <w:b/>
          <w:bCs/>
          <w:sz w:val="26"/>
          <w:szCs w:val="26"/>
          <w:rtl/>
        </w:rPr>
        <w:t>إلى</w:t>
      </w:r>
      <w:proofErr w:type="gramEnd"/>
      <w:r w:rsidRPr="004E10EA">
        <w:rPr>
          <w:rFonts w:ascii="Arial" w:eastAsia="Times New Roman" w:hAnsi="Arial" w:cs="Arial"/>
          <w:b/>
          <w:bCs/>
          <w:sz w:val="26"/>
          <w:szCs w:val="26"/>
          <w:rtl/>
        </w:rPr>
        <w:t xml:space="preserve"> نشاط الاندماج والاستحواذ".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4E10EA">
        <w:rPr>
          <w:rFonts w:ascii="Arial" w:eastAsia="Times New Roman" w:hAnsi="Arial" w:cs="Arial"/>
          <w:b/>
          <w:bCs/>
          <w:sz w:val="26"/>
          <w:szCs w:val="26"/>
          <w:rtl/>
        </w:rPr>
        <w:t>واستطرد</w:t>
      </w:r>
      <w:proofErr w:type="gramEnd"/>
      <w:r w:rsidRPr="004E10EA">
        <w:rPr>
          <w:rFonts w:ascii="Arial" w:eastAsia="Times New Roman" w:hAnsi="Arial" w:cs="Arial"/>
          <w:b/>
          <w:bCs/>
          <w:sz w:val="26"/>
          <w:szCs w:val="26"/>
          <w:rtl/>
        </w:rPr>
        <w:t xml:space="preserve"> قائلا: "بعد سنتين إلى ثلاث من سنوات الضعف، لن أقول: إنها عودة، ولكن أود أن أقول: إنها عودة إلى مستويات جيدة من النشاط".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وأضافت الصفقات الأصغر أيضا إلى الشعور بالتفاؤل، مثل شراء "</w:t>
      </w:r>
      <w:proofErr w:type="spellStart"/>
      <w:r w:rsidRPr="004E10EA">
        <w:rPr>
          <w:rFonts w:ascii="Arial" w:eastAsia="Times New Roman" w:hAnsi="Arial" w:cs="Arial"/>
          <w:b/>
          <w:bCs/>
          <w:sz w:val="26"/>
          <w:szCs w:val="26"/>
          <w:rtl/>
        </w:rPr>
        <w:t>إتش</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إس</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بي</w:t>
      </w:r>
      <w:proofErr w:type="spellEnd"/>
      <w:r w:rsidRPr="004E10EA">
        <w:rPr>
          <w:rFonts w:ascii="Arial" w:eastAsia="Times New Roman" w:hAnsi="Arial" w:cs="Arial"/>
          <w:b/>
          <w:bCs/>
          <w:sz w:val="26"/>
          <w:szCs w:val="26"/>
          <w:rtl/>
        </w:rPr>
        <w:t xml:space="preserve"> </w:t>
      </w:r>
      <w:proofErr w:type="spellStart"/>
      <w:r w:rsidRPr="004E10EA">
        <w:rPr>
          <w:rFonts w:ascii="Arial" w:eastAsia="Times New Roman" w:hAnsi="Arial" w:cs="Arial"/>
          <w:b/>
          <w:bCs/>
          <w:sz w:val="26"/>
          <w:szCs w:val="26"/>
          <w:rtl/>
        </w:rPr>
        <w:t>سي</w:t>
      </w:r>
      <w:proofErr w:type="spellEnd"/>
      <w:r w:rsidRPr="004E10EA">
        <w:rPr>
          <w:rFonts w:ascii="Arial" w:eastAsia="Times New Roman" w:hAnsi="Arial" w:cs="Arial"/>
          <w:b/>
          <w:bCs/>
          <w:sz w:val="26"/>
          <w:szCs w:val="26"/>
          <w:rtl/>
        </w:rPr>
        <w:t xml:space="preserve">" عمليات "الإمارات في </w:t>
      </w:r>
      <w:proofErr w:type="spellStart"/>
      <w:r w:rsidRPr="004E10EA">
        <w:rPr>
          <w:rFonts w:ascii="Arial" w:eastAsia="Times New Roman" w:hAnsi="Arial" w:cs="Arial"/>
          <w:b/>
          <w:bCs/>
          <w:sz w:val="26"/>
          <w:szCs w:val="26"/>
          <w:rtl/>
        </w:rPr>
        <w:t>لويدز</w:t>
      </w:r>
      <w:proofErr w:type="spellEnd"/>
      <w:r w:rsidRPr="004E10EA">
        <w:rPr>
          <w:rFonts w:ascii="Arial" w:eastAsia="Times New Roman" w:hAnsi="Arial" w:cs="Arial"/>
          <w:b/>
          <w:bCs/>
          <w:sz w:val="26"/>
          <w:szCs w:val="26"/>
          <w:rtl/>
        </w:rPr>
        <w:t xml:space="preserve">".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lastRenderedPageBreak/>
        <w:t xml:space="preserve">وقال مشغّل دبي مول ماجد </w:t>
      </w:r>
      <w:proofErr w:type="spellStart"/>
      <w:r w:rsidRPr="004E10EA">
        <w:rPr>
          <w:rFonts w:ascii="Arial" w:eastAsia="Times New Roman" w:hAnsi="Arial" w:cs="Arial"/>
          <w:b/>
          <w:bCs/>
          <w:sz w:val="26"/>
          <w:szCs w:val="26"/>
          <w:rtl/>
        </w:rPr>
        <w:t>الفطيم</w:t>
      </w:r>
      <w:proofErr w:type="spellEnd"/>
      <w:r w:rsidRPr="004E10EA">
        <w:rPr>
          <w:rFonts w:ascii="Arial" w:eastAsia="Times New Roman" w:hAnsi="Arial" w:cs="Arial"/>
          <w:b/>
          <w:bCs/>
          <w:sz w:val="26"/>
          <w:szCs w:val="26"/>
          <w:rtl/>
        </w:rPr>
        <w:t xml:space="preserve"> كان يتوقع الشهر الماضي أن هذا الربع لاستكمال عرض شراء لعمليات سوبر ماركت مجموعة منصور في مصر في صفقة تقدر بنحو 200 مليون دولار - 300 مليون دولار.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4E10EA">
        <w:rPr>
          <w:rFonts w:ascii="Arial" w:eastAsia="Times New Roman" w:hAnsi="Arial" w:cs="Arial"/>
          <w:b/>
          <w:bCs/>
          <w:sz w:val="26"/>
          <w:szCs w:val="26"/>
          <w:rtl/>
        </w:rPr>
        <w:t>ولكن</w:t>
      </w:r>
      <w:proofErr w:type="gramEnd"/>
      <w:r w:rsidRPr="004E10EA">
        <w:rPr>
          <w:rFonts w:ascii="Arial" w:eastAsia="Times New Roman" w:hAnsi="Arial" w:cs="Arial"/>
          <w:b/>
          <w:bCs/>
          <w:sz w:val="26"/>
          <w:szCs w:val="26"/>
          <w:rtl/>
        </w:rPr>
        <w:t xml:space="preserve"> ليس كل المختصين في القطاع المالي مقتنعين، ما يوحي بأن الصفقات الأخيرة دفعتها الحالات المتعثرة ولا تشير إلى تحول هيكلي يدل على تغير في البيئة الأساسية الأكثر </w:t>
      </w:r>
      <w:proofErr w:type="spellStart"/>
      <w:r w:rsidRPr="004E10EA">
        <w:rPr>
          <w:rFonts w:ascii="Arial" w:eastAsia="Times New Roman" w:hAnsi="Arial" w:cs="Arial"/>
          <w:b/>
          <w:bCs/>
          <w:sz w:val="26"/>
          <w:szCs w:val="26"/>
          <w:rtl/>
        </w:rPr>
        <w:t>ملاءمة</w:t>
      </w:r>
      <w:proofErr w:type="spellEnd"/>
      <w:r w:rsidRPr="004E10EA">
        <w:rPr>
          <w:rFonts w:ascii="Arial" w:eastAsia="Times New Roman" w:hAnsi="Arial" w:cs="Arial"/>
          <w:b/>
          <w:bCs/>
          <w:sz w:val="26"/>
          <w:szCs w:val="26"/>
          <w:rtl/>
        </w:rPr>
        <w:t xml:space="preserve"> لنشاط الاندماج والاستحواذ.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r w:rsidRPr="004E10EA">
        <w:rPr>
          <w:rFonts w:ascii="Arial" w:eastAsia="Times New Roman" w:hAnsi="Arial" w:cs="Arial"/>
          <w:b/>
          <w:bCs/>
          <w:sz w:val="26"/>
          <w:szCs w:val="26"/>
          <w:rtl/>
        </w:rPr>
        <w:t>"</w:t>
      </w:r>
      <w:proofErr w:type="gramStart"/>
      <w:r w:rsidRPr="004E10EA">
        <w:rPr>
          <w:rFonts w:ascii="Arial" w:eastAsia="Times New Roman" w:hAnsi="Arial" w:cs="Arial"/>
          <w:b/>
          <w:bCs/>
          <w:sz w:val="26"/>
          <w:szCs w:val="26"/>
          <w:rtl/>
        </w:rPr>
        <w:t>هذا</w:t>
      </w:r>
      <w:proofErr w:type="gramEnd"/>
      <w:r w:rsidRPr="004E10EA">
        <w:rPr>
          <w:rFonts w:ascii="Arial" w:eastAsia="Times New Roman" w:hAnsi="Arial" w:cs="Arial"/>
          <w:b/>
          <w:bCs/>
          <w:sz w:val="26"/>
          <w:szCs w:val="26"/>
          <w:rtl/>
        </w:rPr>
        <w:t xml:space="preserve"> ضجيج أكثر من كونه واقع"، يقول أحد المصرفيين الخليجيين. </w:t>
      </w:r>
      <w:proofErr w:type="gramStart"/>
      <w:r w:rsidRPr="004E10EA">
        <w:rPr>
          <w:rFonts w:ascii="Arial" w:eastAsia="Times New Roman" w:hAnsi="Arial" w:cs="Arial"/>
          <w:b/>
          <w:bCs/>
          <w:sz w:val="26"/>
          <w:szCs w:val="26"/>
          <w:rtl/>
        </w:rPr>
        <w:t>وأضاف</w:t>
      </w:r>
      <w:proofErr w:type="gramEnd"/>
      <w:r w:rsidRPr="004E10EA">
        <w:rPr>
          <w:rFonts w:ascii="Arial" w:eastAsia="Times New Roman" w:hAnsi="Arial" w:cs="Arial"/>
          <w:b/>
          <w:bCs/>
          <w:sz w:val="26"/>
          <w:szCs w:val="26"/>
          <w:rtl/>
        </w:rPr>
        <w:t xml:space="preserve"> أيضاً، تعكس الصفقات التي أغلقت العام الماضي الحالات المتعثرة، مثل المصارف الأوروبية التي خرجت من مصر من أجل تحسين ميزانياتها العمومية. </w:t>
      </w:r>
    </w:p>
    <w:p w:rsidR="004E10EA" w:rsidRPr="004E10EA" w:rsidRDefault="004E10EA" w:rsidP="004E10EA">
      <w:pPr>
        <w:shd w:val="clear" w:color="auto" w:fill="FFFFFF"/>
        <w:bidi/>
        <w:spacing w:before="100" w:beforeAutospacing="1" w:after="100" w:afterAutospacing="1" w:line="240" w:lineRule="auto"/>
        <w:jc w:val="both"/>
        <w:rPr>
          <w:rFonts w:ascii="Arial" w:eastAsia="Times New Roman" w:hAnsi="Arial" w:cs="Arial"/>
          <w:b/>
          <w:bCs/>
          <w:sz w:val="26"/>
          <w:szCs w:val="26"/>
          <w:rtl/>
        </w:rPr>
      </w:pPr>
      <w:proofErr w:type="gramStart"/>
      <w:r w:rsidRPr="004E10EA">
        <w:rPr>
          <w:rFonts w:ascii="Arial" w:eastAsia="Times New Roman" w:hAnsi="Arial" w:cs="Arial"/>
          <w:b/>
          <w:bCs/>
          <w:sz w:val="26"/>
          <w:szCs w:val="26"/>
          <w:rtl/>
        </w:rPr>
        <w:t>كان</w:t>
      </w:r>
      <w:proofErr w:type="gramEnd"/>
      <w:r w:rsidRPr="004E10EA">
        <w:rPr>
          <w:rFonts w:ascii="Arial" w:eastAsia="Times New Roman" w:hAnsi="Arial" w:cs="Arial"/>
          <w:b/>
          <w:bCs/>
          <w:sz w:val="26"/>
          <w:szCs w:val="26"/>
          <w:rtl/>
        </w:rPr>
        <w:t xml:space="preserve"> التعزيز المصرفي في هذا القطاع المزدحم على البطاقات لسنوات، ولكن تميل السياسة إلى عرقلة معظم الفرص، كما يقول. "تحدث هذه الصفقات لأسباب محددة، أكثر من كونها تعكس تغييرا هيكليا في طريقة التفكير أو البيئة الأساسية"، بحسب قوله.</w:t>
      </w:r>
    </w:p>
    <w:p w:rsidR="004E10EA" w:rsidRPr="004E10EA" w:rsidRDefault="004E10EA" w:rsidP="004E10EA">
      <w:pPr>
        <w:shd w:val="clear" w:color="auto" w:fill="FFFFFF"/>
        <w:bidi/>
        <w:spacing w:before="100" w:beforeAutospacing="1" w:after="100" w:afterAutospacing="1" w:line="240" w:lineRule="auto"/>
        <w:outlineLvl w:val="1"/>
        <w:rPr>
          <w:rFonts w:ascii="Tahoma" w:eastAsia="Times New Roman" w:hAnsi="Tahoma" w:cs="Tahoma"/>
          <w:b/>
          <w:bCs/>
          <w:vanish/>
          <w:sz w:val="36"/>
          <w:szCs w:val="36"/>
          <w:rtl/>
        </w:rPr>
      </w:pPr>
      <w:r w:rsidRPr="004E10EA">
        <w:rPr>
          <w:rFonts w:ascii="Tahoma" w:eastAsia="Times New Roman" w:hAnsi="Tahoma" w:cs="Tahoma"/>
          <w:b/>
          <w:bCs/>
          <w:vanish/>
          <w:sz w:val="36"/>
          <w:szCs w:val="36"/>
          <w:rtl/>
        </w:rPr>
        <w:t>لا يوجد تعليقات</w:t>
      </w:r>
    </w:p>
    <w:p w:rsidR="004E10EA" w:rsidRPr="004E10EA" w:rsidRDefault="004E10EA" w:rsidP="004E10EA">
      <w:pPr>
        <w:shd w:val="clear" w:color="auto" w:fill="FFFFFF"/>
        <w:bidi/>
        <w:spacing w:after="0" w:line="240" w:lineRule="auto"/>
        <w:jc w:val="center"/>
        <w:rPr>
          <w:rFonts w:ascii="Tahoma" w:eastAsia="Times New Roman" w:hAnsi="Tahoma" w:cs="Tahoma"/>
          <w:color w:val="808080"/>
          <w:sz w:val="19"/>
          <w:szCs w:val="19"/>
          <w:rtl/>
        </w:rPr>
      </w:pPr>
      <w:r w:rsidRPr="004E10EA">
        <w:rPr>
          <w:rFonts w:ascii="Tahoma" w:eastAsia="Times New Roman" w:hAnsi="Tahoma" w:cs="Tahoma"/>
          <w:color w:val="808080"/>
          <w:sz w:val="19"/>
          <w:szCs w:val="19"/>
          <w:rtl/>
        </w:rPr>
        <w:t>جميع الحقوق محفوظة لـصحيفة الاقتصادية الإلكترونية 2013</w:t>
      </w:r>
      <w:r w:rsidRPr="004E10EA">
        <w:rPr>
          <w:rFonts w:ascii="Tahoma" w:eastAsia="Times New Roman" w:hAnsi="Tahoma" w:cs="Tahoma"/>
          <w:color w:val="808080"/>
          <w:sz w:val="19"/>
          <w:szCs w:val="19"/>
          <w:rtl/>
        </w:rPr>
        <w:br/>
      </w:r>
      <w:proofErr w:type="gramStart"/>
      <w:r w:rsidRPr="004E10EA">
        <w:rPr>
          <w:rFonts w:ascii="Tahoma" w:eastAsia="Times New Roman" w:hAnsi="Tahoma" w:cs="Tahoma"/>
          <w:color w:val="808080"/>
          <w:sz w:val="19"/>
          <w:szCs w:val="19"/>
          <w:rtl/>
        </w:rPr>
        <w:t>تصميم</w:t>
      </w:r>
      <w:proofErr w:type="gramEnd"/>
      <w:r w:rsidRPr="004E10EA">
        <w:rPr>
          <w:rFonts w:ascii="Tahoma" w:eastAsia="Times New Roman" w:hAnsi="Tahoma" w:cs="Tahoma"/>
          <w:color w:val="808080"/>
          <w:sz w:val="19"/>
          <w:szCs w:val="19"/>
          <w:rtl/>
        </w:rPr>
        <w:t xml:space="preserve"> وتطوير وتنفيذ إدارة البوابة الإلكترونية في صحيفة الاقتصادية </w:t>
      </w:r>
    </w:p>
    <w:p w:rsidR="004E10EA" w:rsidRDefault="004E10EA" w:rsidP="004E10EA">
      <w:pPr>
        <w:rPr>
          <w:rFonts w:hint="cs"/>
          <w:rtl/>
        </w:rPr>
      </w:pPr>
    </w:p>
    <w:sectPr w:rsidR="004E10EA" w:rsidSect="004E10E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4E10EA"/>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4E10EA"/>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0F20"/>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76"/>
  </w:style>
  <w:style w:type="paragraph" w:styleId="Heading1">
    <w:name w:val="heading 1"/>
    <w:basedOn w:val="Normal"/>
    <w:link w:val="Heading1Char"/>
    <w:uiPriority w:val="9"/>
    <w:qFormat/>
    <w:rsid w:val="004E10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E10E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0E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E10E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E10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4065543">
      <w:marLeft w:val="3630"/>
      <w:marRight w:val="0"/>
      <w:marTop w:val="0"/>
      <w:marBottom w:val="0"/>
      <w:divBdr>
        <w:top w:val="single" w:sz="6" w:space="15" w:color="808080"/>
        <w:left w:val="single" w:sz="6" w:space="15" w:color="808080"/>
        <w:bottom w:val="single" w:sz="6" w:space="15" w:color="808080"/>
        <w:right w:val="single" w:sz="6" w:space="15" w:color="808080"/>
      </w:divBdr>
      <w:divsChild>
        <w:div w:id="2013945760">
          <w:marLeft w:val="0"/>
          <w:marRight w:val="0"/>
          <w:marTop w:val="0"/>
          <w:marBottom w:val="0"/>
          <w:divBdr>
            <w:top w:val="none" w:sz="0" w:space="0" w:color="auto"/>
            <w:left w:val="none" w:sz="0" w:space="0" w:color="auto"/>
            <w:bottom w:val="none" w:sz="0" w:space="0" w:color="auto"/>
            <w:right w:val="none" w:sz="0" w:space="0" w:color="auto"/>
          </w:divBdr>
          <w:divsChild>
            <w:div w:id="2080587661">
              <w:marLeft w:val="0"/>
              <w:marRight w:val="0"/>
              <w:marTop w:val="0"/>
              <w:marBottom w:val="0"/>
              <w:divBdr>
                <w:top w:val="none" w:sz="0" w:space="0" w:color="auto"/>
                <w:left w:val="none" w:sz="0" w:space="0" w:color="auto"/>
                <w:bottom w:val="none" w:sz="0" w:space="0" w:color="auto"/>
                <w:right w:val="none" w:sz="0" w:space="0" w:color="auto"/>
              </w:divBdr>
            </w:div>
            <w:div w:id="833224864">
              <w:marLeft w:val="0"/>
              <w:marRight w:val="0"/>
              <w:marTop w:val="0"/>
              <w:marBottom w:val="0"/>
              <w:divBdr>
                <w:top w:val="none" w:sz="0" w:space="0" w:color="auto"/>
                <w:left w:val="none" w:sz="0" w:space="0" w:color="auto"/>
                <w:bottom w:val="none" w:sz="0" w:space="0" w:color="auto"/>
                <w:right w:val="none" w:sz="0" w:space="0" w:color="auto"/>
              </w:divBdr>
            </w:div>
          </w:divsChild>
        </w:div>
        <w:div w:id="753086376">
          <w:marLeft w:val="0"/>
          <w:marRight w:val="0"/>
          <w:marTop w:val="0"/>
          <w:marBottom w:val="0"/>
          <w:divBdr>
            <w:top w:val="single" w:sz="6" w:space="0" w:color="808080"/>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2915</Characters>
  <Application>Microsoft Office Word</Application>
  <DocSecurity>0</DocSecurity>
  <Lines>24</Lines>
  <Paragraphs>6</Paragraphs>
  <ScaleCrop>false</ScaleCrop>
  <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2013-02-14T07:47:00Z</dcterms:created>
  <dcterms:modified xsi:type="dcterms:W3CDTF">2013-02-14T07:48:00Z</dcterms:modified>
</cp:coreProperties>
</file>