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29" w:rsidRPr="00BE1B29" w:rsidRDefault="00BE1B29" w:rsidP="00BE1B29">
      <w:pPr>
        <w:shd w:val="clear" w:color="auto" w:fill="FFFFFF"/>
        <w:spacing w:before="100" w:beforeAutospacing="1" w:after="100" w:afterAutospacing="1" w:line="240" w:lineRule="auto"/>
        <w:jc w:val="highKashida"/>
        <w:rPr>
          <w:rFonts w:ascii="Verdana" w:eastAsia="Times New Roman" w:hAnsi="Verdana" w:cs="Times New Roman"/>
        </w:rPr>
      </w:pPr>
      <w:r w:rsidRPr="00BE1B29">
        <w:rPr>
          <w:rFonts w:ascii="Simplified Arabic" w:eastAsia="Times New Roman" w:hAnsi="Simplified Arabic" w:cs="Simplified Arabic" w:hint="cs"/>
          <w:b/>
          <w:bCs/>
          <w:u w:val="single"/>
          <w:rtl/>
        </w:rPr>
        <w:t>الخطة الدراسية لمادة مبادئ المحاسبة والتقارير المالية</w:t>
      </w:r>
      <w:r w:rsidRPr="00BE1B29">
        <w:rPr>
          <w:rFonts w:ascii="Simplified Arabic" w:eastAsia="Times New Roman" w:hAnsi="Simplified Arabic" w:cs="Simplified Arabic"/>
          <w:b/>
          <w:bCs/>
          <w:u w:val="single"/>
          <w:rtl/>
        </w:rPr>
        <w:br/>
        <w:t>موضوعات المقرر</w:t>
      </w:r>
      <w:r w:rsidRPr="00BE1B29">
        <w:rPr>
          <w:rFonts w:ascii="Simplified Arabic" w:eastAsia="Times New Roman" w:hAnsi="Simplified Arabic" w:cs="Simplified Arabic"/>
          <w:b/>
          <w:bCs/>
          <w:rtl/>
        </w:rPr>
        <w:t>:</w:t>
      </w:r>
    </w:p>
    <w:tbl>
      <w:tblPr>
        <w:bidiVisual/>
        <w:tblW w:w="4750" w:type="pct"/>
        <w:tblCellMar>
          <w:left w:w="0" w:type="dxa"/>
          <w:right w:w="0" w:type="dxa"/>
        </w:tblCellMar>
        <w:tblLook w:val="04A0"/>
      </w:tblPr>
      <w:tblGrid>
        <w:gridCol w:w="869"/>
        <w:gridCol w:w="774"/>
        <w:gridCol w:w="3020"/>
        <w:gridCol w:w="3433"/>
      </w:tblGrid>
      <w:tr w:rsidR="00BE1B29" w:rsidRPr="00BE1B29" w:rsidTr="00BE1B29">
        <w:trPr>
          <w:trHeight w:val="368"/>
        </w:trPr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الأسبوع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الفصل</w:t>
            </w:r>
          </w:p>
        </w:tc>
        <w:tc>
          <w:tcPr>
            <w:tcW w:w="18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الموضوع</w:t>
            </w:r>
          </w:p>
        </w:tc>
        <w:tc>
          <w:tcPr>
            <w:tcW w:w="21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الملغي</w:t>
            </w:r>
          </w:p>
        </w:tc>
      </w:tr>
      <w:tr w:rsidR="00BE1B29" w:rsidRPr="00BE1B29" w:rsidTr="00BE1B29">
        <w:trPr>
          <w:trHeight w:val="368"/>
        </w:trPr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الأول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الأول</w:t>
            </w:r>
          </w:p>
        </w:tc>
        <w:tc>
          <w:tcPr>
            <w:tcW w:w="1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مقدمة في الفكر المحاسبي</w:t>
            </w:r>
          </w:p>
        </w:tc>
        <w:tc>
          <w:tcPr>
            <w:tcW w:w="2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 </w:t>
            </w:r>
          </w:p>
        </w:tc>
      </w:tr>
      <w:tr w:rsidR="00BE1B29" w:rsidRPr="00BE1B29" w:rsidTr="00BE1B29">
        <w:trPr>
          <w:trHeight w:val="721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الثاني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الثاني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النظام المحاسبي: العناصر ـ القيد المزدوج ـ استخدام النظام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 </w:t>
            </w:r>
          </w:p>
        </w:tc>
      </w:tr>
      <w:tr w:rsidR="00BE1B29" w:rsidRPr="00BE1B29" w:rsidTr="00BE1B29">
        <w:trPr>
          <w:trHeight w:val="721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الثالث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الثاني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النظام المحاسبي: الترحيل ـ ميزان المراجعة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ميزان المراجعة والأخطاء</w:t>
            </w:r>
          </w:p>
        </w:tc>
      </w:tr>
      <w:tr w:rsidR="00BE1B29" w:rsidRPr="00BE1B29" w:rsidTr="00BE1B29">
        <w:trPr>
          <w:trHeight w:val="721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الرابع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الثالث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النظام المحاسبي: إعداد التقارير: قائمة الدخل ـ قائمة المركز المالي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 </w:t>
            </w:r>
          </w:p>
        </w:tc>
      </w:tr>
      <w:tr w:rsidR="00BE1B29" w:rsidRPr="00BE1B29" w:rsidTr="00BE1B29">
        <w:trPr>
          <w:trHeight w:val="735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الخامس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الرابع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تسوية الحسابات وأقفالها : الإيرادات ـ المصروفات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 </w:t>
            </w:r>
          </w:p>
        </w:tc>
      </w:tr>
      <w:tr w:rsidR="00BE1B29" w:rsidRPr="00BE1B29" w:rsidTr="00BE1B29">
        <w:trPr>
          <w:trHeight w:val="368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السادس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الرابع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قفل الحسابات وتدويرها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 </w:t>
            </w:r>
          </w:p>
        </w:tc>
      </w:tr>
      <w:tr w:rsidR="00BE1B29" w:rsidRPr="00BE1B29" w:rsidTr="00BE1B29">
        <w:trPr>
          <w:trHeight w:val="721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السابع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الخامس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أعداد القوائم المالية في المنشآت التجارية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 </w:t>
            </w:r>
          </w:p>
        </w:tc>
      </w:tr>
      <w:tr w:rsidR="00BE1B29" w:rsidRPr="00BE1B29" w:rsidTr="00BE1B29">
        <w:trPr>
          <w:trHeight w:val="721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الثامن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السادس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النقدية وأوراق القبض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الفوائد وأوراق القبض ـ تسوية الفوائد ـ أمثلة تطبيقية لأوراق القبض مع احتساب الفوائد</w:t>
            </w:r>
          </w:p>
        </w:tc>
      </w:tr>
      <w:tr w:rsidR="00BE1B29" w:rsidRPr="00BE1B29" w:rsidTr="00BE1B29">
        <w:trPr>
          <w:trHeight w:val="368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التاسع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السابع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المدينون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 </w:t>
            </w:r>
          </w:p>
        </w:tc>
      </w:tr>
      <w:tr w:rsidR="00BE1B29" w:rsidRPr="00BE1B29" w:rsidTr="00BE1B29">
        <w:trPr>
          <w:trHeight w:val="1074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العاشر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الثامن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المخزون السلعي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طريقة الجرد المستمر ـ الخطأ في تقييم المخزون السلعي ـ تحديد قيمة المخزون السلعي بطريقة التقدير</w:t>
            </w:r>
          </w:p>
        </w:tc>
      </w:tr>
      <w:tr w:rsidR="00BE1B29" w:rsidRPr="00BE1B29" w:rsidTr="00BE1B29">
        <w:trPr>
          <w:trHeight w:val="1088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الحادي عشر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الثامن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الأصول الثابتة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استبدال الأصول الثابتة ـ تعديل معدل الاستهلاك ـ صيانة وإضافة الأصل الثابت ـ سجلات الأصول الثابتة.</w:t>
            </w:r>
          </w:p>
        </w:tc>
      </w:tr>
      <w:tr w:rsidR="00BE1B29" w:rsidRPr="00BE1B29" w:rsidTr="00BE1B29">
        <w:trPr>
          <w:trHeight w:val="721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الثاني عشر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الثامن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الأصول الثابتة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 </w:t>
            </w:r>
          </w:p>
        </w:tc>
      </w:tr>
      <w:tr w:rsidR="00BE1B29" w:rsidRPr="00BE1B29" w:rsidTr="00BE1B29">
        <w:trPr>
          <w:trHeight w:val="721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الثالث عشر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التاسع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الالتزامات قصيرة الأجل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الأرباح المعلن توزيعها ـ التأمينات المستردة ـ الالتزامات طويلة الأجل ـ التأجير المالي</w:t>
            </w:r>
          </w:p>
        </w:tc>
      </w:tr>
      <w:tr w:rsidR="00BE1B29" w:rsidRPr="00BE1B29" w:rsidTr="00BE1B29">
        <w:trPr>
          <w:trHeight w:val="721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الرابع عشر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الإطار العام لإعداد التقارير المالية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 </w:t>
            </w:r>
          </w:p>
        </w:tc>
      </w:tr>
      <w:tr w:rsidR="00BE1B29" w:rsidRPr="00BE1B29" w:rsidTr="00BE1B29">
        <w:trPr>
          <w:trHeight w:val="1000"/>
        </w:trPr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الخامس عشر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rtl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أساسيات تحليل القوائم المالية</w:t>
            </w:r>
          </w:p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B29" w:rsidRPr="00BE1B29" w:rsidRDefault="00BE1B29" w:rsidP="00BE1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  <w:r w:rsidRPr="00BE1B29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 </w:t>
            </w:r>
          </w:p>
        </w:tc>
      </w:tr>
    </w:tbl>
    <w:p w:rsidR="00BE1B29" w:rsidRPr="00BE1B29" w:rsidRDefault="00BE1B29" w:rsidP="00BE1B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rtl/>
        </w:rPr>
      </w:pPr>
      <w:r w:rsidRPr="00BE1B29">
        <w:rPr>
          <w:rFonts w:ascii="Verdana" w:eastAsia="Times New Roman" w:hAnsi="Verdana" w:cs="Times New Roman" w:hint="cs"/>
          <w:color w:val="808080"/>
          <w:rtl/>
        </w:rPr>
        <w:t> </w:t>
      </w:r>
    </w:p>
    <w:p w:rsidR="00DB2B82" w:rsidRPr="00BE1B29" w:rsidRDefault="00DB2B82" w:rsidP="00BE1B29"/>
    <w:sectPr w:rsidR="00DB2B82" w:rsidRPr="00BE1B29" w:rsidSect="00A971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B29"/>
    <w:rsid w:val="00A971B6"/>
    <w:rsid w:val="00B968A8"/>
    <w:rsid w:val="00BE1B29"/>
    <w:rsid w:val="00DB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B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1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Ahmed Under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2012-08-04T22:16:00Z</dcterms:created>
  <dcterms:modified xsi:type="dcterms:W3CDTF">2012-08-04T22:16:00Z</dcterms:modified>
</cp:coreProperties>
</file>