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center"/>
        <w:outlineLvl w:val="0"/>
        <w:rPr>
          <w:rFonts w:ascii="Times New Roman" w:eastAsia="Times New Roman" w:hAnsi="Times New Roman" w:cs="PT Simple Bold Ruled" w:hint="cs"/>
          <w:color w:val="333333"/>
          <w:kern w:val="36"/>
          <w:sz w:val="36"/>
          <w:szCs w:val="36"/>
          <w:rtl/>
        </w:rPr>
      </w:pPr>
      <w:r w:rsidRPr="00F11226">
        <w:rPr>
          <w:rFonts w:ascii="Times New Roman" w:eastAsia="Times New Roman" w:hAnsi="Times New Roman" w:cs="PT Simple Bold Ruled" w:hint="cs"/>
          <w:color w:val="333333"/>
          <w:kern w:val="36"/>
          <w:sz w:val="36"/>
          <w:szCs w:val="36"/>
          <w:rtl/>
        </w:rPr>
        <w:t>مواقع قانونية ذات الصلة</w:t>
      </w:r>
    </w:p>
    <w:p w:rsid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هيئة الخبراء بمجلس الوزراء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 xml:space="preserve"> :</w:t>
      </w: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</w:pPr>
      <w:hyperlink r:id="rId5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http://www.boe.gov.sa/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مجلس الشورى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 xml:space="preserve"> :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 w:hint="cs"/>
          <w:color w:val="333333"/>
          <w:kern w:val="36"/>
          <w:sz w:val="59"/>
          <w:szCs w:val="59"/>
          <w:rtl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6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http://www.shura.gov.sa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 xml:space="preserve">هيئة 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>الادعاء</w:t>
      </w: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 xml:space="preserve"> والتحقيق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 xml:space="preserve"> :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7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http://www.bip.gov.sa/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هيئة الرقابة والتحقيق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 xml:space="preserve"> :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8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http://www.cib.gov.sa/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وزارة العدل</w:t>
      </w:r>
      <w:r w:rsidRPr="00F11226"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  <w:t xml:space="preserve"> :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9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http://www.moj.gov.sa/ar-sa/Pages/default.aspx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وزارة الداخلية</w:t>
      </w: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</w:pPr>
      <w:hyperlink r:id="rId10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http://www.moi.gov.sa/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وزارة الخارجية</w:t>
      </w: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11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http://www.mofa.gov.sa/Pages/Default.aspx</w:t>
        </w:r>
      </w:hyperlink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</w:pPr>
    </w:p>
    <w:p w:rsidR="00F11226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imes New Roman" w:eastAsia="Times New Roman" w:hAnsi="Times New Roman" w:cs="PT Bold Dusky" w:hint="cs"/>
          <w:color w:val="333333"/>
          <w:kern w:val="36"/>
          <w:sz w:val="36"/>
          <w:szCs w:val="36"/>
          <w:rtl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  <w:rtl/>
        </w:rPr>
        <w:t>موقع محامو المملكة</w:t>
      </w:r>
    </w:p>
    <w:p w:rsidR="00E808F0" w:rsidRPr="00F11226" w:rsidRDefault="00F11226" w:rsidP="00F11226">
      <w:pPr>
        <w:shd w:val="clear" w:color="auto" w:fill="FFFFFF"/>
        <w:bidi w:val="0"/>
        <w:spacing w:after="0" w:line="312" w:lineRule="atLeast"/>
        <w:jc w:val="right"/>
        <w:outlineLvl w:val="0"/>
        <w:rPr>
          <w:rFonts w:ascii="Tahoma" w:eastAsia="Times New Roman" w:hAnsi="Tahoma" w:cs="PT Bold Dusky"/>
          <w:color w:val="333333"/>
          <w:kern w:val="36"/>
          <w:sz w:val="59"/>
          <w:szCs w:val="59"/>
        </w:rPr>
      </w:pPr>
      <w:r w:rsidRPr="00F11226">
        <w:rPr>
          <w:rFonts w:ascii="Times New Roman" w:eastAsia="Times New Roman" w:hAnsi="Times New Roman" w:cs="PT Bold Dusky"/>
          <w:color w:val="333333"/>
          <w:kern w:val="36"/>
          <w:sz w:val="36"/>
          <w:szCs w:val="36"/>
        </w:rPr>
        <w:t> </w:t>
      </w:r>
      <w:hyperlink r:id="rId12" w:history="1">
        <w:r w:rsidRPr="00F11226">
          <w:rPr>
            <w:rFonts w:ascii="Times New Roman" w:eastAsia="Times New Roman" w:hAnsi="Times New Roman" w:cs="PT Bold Dusky"/>
            <w:color w:val="182817"/>
            <w:kern w:val="36"/>
            <w:sz w:val="36"/>
            <w:szCs w:val="36"/>
          </w:rPr>
          <w:t>http://www.mohamoon-ksa.com/</w:t>
        </w:r>
      </w:hyperlink>
      <w:bookmarkStart w:id="0" w:name="_GoBack"/>
      <w:bookmarkEnd w:id="0"/>
    </w:p>
    <w:sectPr w:rsidR="00E808F0" w:rsidRPr="00F11226" w:rsidSect="00F11226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226"/>
    <w:rsid w:val="00E808F0"/>
    <w:rsid w:val="00F11226"/>
    <w:rsid w:val="00F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link w:val="1Char"/>
    <w:uiPriority w:val="9"/>
    <w:qFormat/>
    <w:rsid w:val="00F11226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F112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F11226"/>
  </w:style>
  <w:style w:type="character" w:styleId="Hyperlink">
    <w:name w:val="Hyperlink"/>
    <w:basedOn w:val="a0"/>
    <w:uiPriority w:val="99"/>
    <w:semiHidden/>
    <w:unhideWhenUsed/>
    <w:rsid w:val="00F112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link w:val="1Char"/>
    <w:uiPriority w:val="9"/>
    <w:qFormat/>
    <w:rsid w:val="00F11226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F112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F11226"/>
  </w:style>
  <w:style w:type="character" w:styleId="Hyperlink">
    <w:name w:val="Hyperlink"/>
    <w:basedOn w:val="a0"/>
    <w:uiPriority w:val="99"/>
    <w:semiHidden/>
    <w:unhideWhenUsed/>
    <w:rsid w:val="00F112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b.gov.s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gov.sa/" TargetMode="External"/><Relationship Id="rId12" Type="http://schemas.openxmlformats.org/officeDocument/2006/relationships/hyperlink" Target="http://www.mohamoon-ksa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ura.gov.sa/" TargetMode="External"/><Relationship Id="rId11" Type="http://schemas.openxmlformats.org/officeDocument/2006/relationships/hyperlink" Target="http://www.mofa.gov.sa/Pages/Default.aspx" TargetMode="External"/><Relationship Id="rId5" Type="http://schemas.openxmlformats.org/officeDocument/2006/relationships/hyperlink" Target="http://www.boe.gov.sa/" TargetMode="External"/><Relationship Id="rId10" Type="http://schemas.openxmlformats.org/officeDocument/2006/relationships/hyperlink" Target="http://www.moi.gov.s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j.gov.sa/ar-sa/Pages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2012-02-24T22:28:00Z</dcterms:created>
  <dcterms:modified xsi:type="dcterms:W3CDTF">2012-02-24T22:34:00Z</dcterms:modified>
</cp:coreProperties>
</file>