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5CE" w:rsidRPr="00EA35CE" w:rsidRDefault="00EA35CE" w:rsidP="00EA35CE">
      <w:pPr>
        <w:rPr>
          <w:rFonts w:cs="Andalus"/>
          <w:sz w:val="30"/>
          <w:szCs w:val="30"/>
        </w:rPr>
      </w:pPr>
      <w:r w:rsidRPr="00EA35CE">
        <w:rPr>
          <w:rFonts w:cs="Andalus"/>
          <w:sz w:val="30"/>
          <w:szCs w:val="30"/>
          <w:rtl/>
        </w:rPr>
        <w:tab/>
      </w:r>
    </w:p>
    <w:p w:rsidR="00EA35CE" w:rsidRDefault="00EA35CE" w:rsidP="00EA35CE">
      <w:pPr>
        <w:rPr>
          <w:sz w:val="30"/>
          <w:szCs w:val="30"/>
          <w:rtl/>
        </w:rPr>
      </w:pPr>
      <w:r w:rsidRPr="00EA35CE">
        <w:rPr>
          <w:rFonts w:hint="cs"/>
          <w:sz w:val="30"/>
          <w:szCs w:val="30"/>
          <w:rtl/>
        </w:rPr>
        <w:t xml:space="preserve">           </w:t>
      </w:r>
    </w:p>
    <w:p w:rsidR="00EA35CE" w:rsidRDefault="00EA35CE" w:rsidP="00EA35CE">
      <w:pPr>
        <w:jc w:val="center"/>
        <w:rPr>
          <w:sz w:val="30"/>
          <w:szCs w:val="30"/>
          <w:rtl/>
        </w:rPr>
      </w:pPr>
      <w:r w:rsidRPr="00EA35CE">
        <w:rPr>
          <w:rFonts w:cs="Andalus"/>
          <w:sz w:val="38"/>
          <w:szCs w:val="38"/>
          <w:rtl/>
        </w:rPr>
        <w:t>بسم الله الرحمن الرحيم</w:t>
      </w:r>
    </w:p>
    <w:p w:rsidR="00EA35CE" w:rsidRPr="00EA35CE" w:rsidRDefault="00EA35CE" w:rsidP="00EA35CE">
      <w:pPr>
        <w:jc w:val="center"/>
        <w:rPr>
          <w:sz w:val="30"/>
          <w:szCs w:val="30"/>
          <w:rtl/>
        </w:rPr>
      </w:pPr>
    </w:p>
    <w:p w:rsidR="00EA35CE" w:rsidRPr="00EA35CE" w:rsidRDefault="00EA35CE" w:rsidP="00EA35CE">
      <w:pPr>
        <w:jc w:val="both"/>
        <w:rPr>
          <w:sz w:val="30"/>
          <w:szCs w:val="30"/>
          <w:rtl/>
        </w:rPr>
      </w:pPr>
      <w:r w:rsidRPr="00EA35CE">
        <w:rPr>
          <w:rFonts w:hint="cs"/>
          <w:sz w:val="30"/>
          <w:szCs w:val="30"/>
          <w:rtl/>
        </w:rPr>
        <w:t xml:space="preserve">جامعة الملك سعود                           </w:t>
      </w:r>
      <w:r>
        <w:rPr>
          <w:rFonts w:hint="cs"/>
          <w:sz w:val="30"/>
          <w:szCs w:val="30"/>
          <w:rtl/>
        </w:rPr>
        <w:t xml:space="preserve">                                       </w:t>
      </w:r>
      <w:r w:rsidRPr="00EA35CE">
        <w:rPr>
          <w:rFonts w:hint="cs"/>
          <w:sz w:val="30"/>
          <w:szCs w:val="30"/>
          <w:rtl/>
        </w:rPr>
        <w:t xml:space="preserve">       كلية التربية</w:t>
      </w:r>
    </w:p>
    <w:p w:rsidR="00EA35CE" w:rsidRPr="00EA35CE" w:rsidRDefault="00EA35CE" w:rsidP="00EA35CE">
      <w:pPr>
        <w:jc w:val="both"/>
        <w:rPr>
          <w:rFonts w:cs="Traditional Arabic"/>
          <w:sz w:val="42"/>
          <w:szCs w:val="42"/>
          <w:rtl/>
        </w:rPr>
      </w:pPr>
      <w:r w:rsidRPr="00EA35CE">
        <w:rPr>
          <w:rFonts w:hint="cs"/>
          <w:sz w:val="30"/>
          <w:szCs w:val="30"/>
          <w:rtl/>
        </w:rPr>
        <w:t>قسم الدراسات الإسلامية</w:t>
      </w:r>
    </w:p>
    <w:p w:rsidR="00EA35CE" w:rsidRPr="00EA35CE" w:rsidRDefault="00EA35CE" w:rsidP="00EA35CE">
      <w:pPr>
        <w:jc w:val="center"/>
        <w:rPr>
          <w:rFonts w:cs="Traditional Arabic"/>
          <w:sz w:val="50"/>
          <w:szCs w:val="50"/>
          <w:u w:val="single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    </w:t>
      </w:r>
      <w:r w:rsidRPr="00EA35CE">
        <w:rPr>
          <w:rFonts w:cs="Traditional Arabic"/>
          <w:sz w:val="50"/>
          <w:szCs w:val="50"/>
          <w:u w:val="single"/>
          <w:rtl/>
        </w:rPr>
        <w:t>585 سلم  مقرر ملل ونحل (2)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المفردات :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سيتناول المنهج بعضا من المفردات التي تتحدث عن الأديان الكتابية والوثنية ومن ذلك :-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>الأسبوع الأول: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 الطوائف اليهودية، القديمة والحديثة المعاصرة (الأرثوذكس، الإصلاحيون، المحافظون، </w:t>
      </w:r>
      <w:proofErr w:type="spellStart"/>
      <w:r w:rsidRPr="00EA35CE">
        <w:rPr>
          <w:rFonts w:cs="Traditional Arabic"/>
          <w:sz w:val="42"/>
          <w:szCs w:val="42"/>
          <w:rtl/>
        </w:rPr>
        <w:t>الصهيونيون</w:t>
      </w:r>
      <w:proofErr w:type="spellEnd"/>
      <w:r w:rsidRPr="00EA35CE">
        <w:rPr>
          <w:rFonts w:cs="Traditional Arabic"/>
          <w:sz w:val="42"/>
          <w:szCs w:val="42"/>
          <w:rtl/>
        </w:rPr>
        <w:t>)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مراجع </w:t>
      </w:r>
      <w:proofErr w:type="spellStart"/>
      <w:r w:rsidRPr="00EA35CE">
        <w:rPr>
          <w:rFonts w:cs="Traditional Arabic"/>
          <w:sz w:val="42"/>
          <w:szCs w:val="42"/>
          <w:rtl/>
        </w:rPr>
        <w:t>مرشحة:الملل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المعاصرة في الدين اليهودي، إسماعيل الفاروقي،</w:t>
      </w:r>
      <w:r w:rsidR="00A45E51">
        <w:rPr>
          <w:rFonts w:cs="Traditional Arabic" w:hint="cs"/>
          <w:sz w:val="42"/>
          <w:szCs w:val="42"/>
          <w:rtl/>
        </w:rPr>
        <w:t xml:space="preserve"> </w:t>
      </w:r>
      <w:r w:rsidRPr="00EA35CE">
        <w:rPr>
          <w:rFonts w:cs="Traditional Arabic"/>
          <w:sz w:val="42"/>
          <w:szCs w:val="42"/>
          <w:rtl/>
        </w:rPr>
        <w:t xml:space="preserve">اليهودية واليهود د. علي عبد الواحد وافي، المتدينون اليهود فرق ومواقف. د عبد الله اليحيى ، اليهودية والمسيحية </w:t>
      </w:r>
      <w:proofErr w:type="spellStart"/>
      <w:r w:rsidRPr="00EA35CE">
        <w:rPr>
          <w:rFonts w:cs="Traditional Arabic"/>
          <w:sz w:val="42"/>
          <w:szCs w:val="42"/>
          <w:rtl/>
        </w:rPr>
        <w:t>د.محمد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ضياء الرحمن الأعظمي، موسوعة اليهود واليهودية . 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>الأسبوع الثاني: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النبوة والأنبياء عند اليهود، مراتبها ونقدها . 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التوراة مصادر ها وترجماتها، نقد التوراة علمياً وتاريخيا، وموقف القرآن من التوراة.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مراجع مرشحة: النبوة والأنبياء، أحمد عبد الوهاب. النبوة والأنبياء د. سليمان العيد. التوراة بين فقدان الأصل وتناقض المتن د. نعمان </w:t>
      </w:r>
      <w:r w:rsidR="00A45E51" w:rsidRPr="00EA35CE">
        <w:rPr>
          <w:rFonts w:cs="Traditional Arabic" w:hint="cs"/>
          <w:sz w:val="42"/>
          <w:szCs w:val="42"/>
          <w:rtl/>
        </w:rPr>
        <w:t>السامرائ</w:t>
      </w:r>
      <w:r w:rsidR="00A45E51" w:rsidRPr="00EA35CE">
        <w:rPr>
          <w:rFonts w:cs="Traditional Arabic" w:hint="eastAsia"/>
          <w:sz w:val="42"/>
          <w:szCs w:val="42"/>
          <w:rtl/>
        </w:rPr>
        <w:t>ي</w:t>
      </w:r>
      <w:r w:rsidRPr="00EA35CE">
        <w:rPr>
          <w:rFonts w:cs="Traditional Arabic"/>
          <w:sz w:val="42"/>
          <w:szCs w:val="42"/>
          <w:rtl/>
        </w:rPr>
        <w:t xml:space="preserve"> ، القرآن </w:t>
      </w:r>
      <w:r w:rsidRPr="00EA35CE">
        <w:rPr>
          <w:rFonts w:cs="Traditional Arabic"/>
          <w:sz w:val="42"/>
          <w:szCs w:val="42"/>
          <w:rtl/>
        </w:rPr>
        <w:lastRenderedPageBreak/>
        <w:t>الكريم والتوراة والإنجيل ، موريس بوكاي . اختلافات في تراجم الكتاب المقدس ،أحمد عبد الوهاب .نقد التوراة ،أحمد حجازي.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>الأسبوع الثالث: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بقية أسفار العهد القديم مصادرها وتدوينها نقدها سندا ومتنا . 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التلمود حقيقته وأقسامه ومصادره وحجيته ومكانته عند اليهود 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مراجع مرشحة: التلمود تاريخه وتعاليمه،</w:t>
      </w:r>
      <w:r w:rsidR="00A45E51">
        <w:rPr>
          <w:rFonts w:cs="Traditional Arabic" w:hint="cs"/>
          <w:sz w:val="42"/>
          <w:szCs w:val="42"/>
          <w:rtl/>
        </w:rPr>
        <w:t xml:space="preserve"> </w:t>
      </w:r>
      <w:r w:rsidRPr="00EA35CE">
        <w:rPr>
          <w:rFonts w:cs="Traditional Arabic"/>
          <w:sz w:val="42"/>
          <w:szCs w:val="42"/>
          <w:rtl/>
        </w:rPr>
        <w:t xml:space="preserve">ظفر الإسلام خان . الفارق بين المخلوق والخالق، عبد الرحمن </w:t>
      </w:r>
      <w:proofErr w:type="spellStart"/>
      <w:r w:rsidRPr="00EA35CE">
        <w:rPr>
          <w:rFonts w:cs="Traditional Arabic"/>
          <w:sz w:val="42"/>
          <w:szCs w:val="42"/>
          <w:rtl/>
        </w:rPr>
        <w:t>باجه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جي زاده، في مقارنة الأديان د. محمد الشرقاوي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>الأسبوع الرابع :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النصرانية: تسميتهم، فتنتهم، انحرافهم فرق النصرانية القديمة والمعاصرة، عقائدها وتاريخا.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مراجع مرشحة: محاضرات في النصرانية محمد أبو زهرة .فرق النصرانية سعيد رستم، اليهودية والمسيحية </w:t>
      </w:r>
      <w:proofErr w:type="spellStart"/>
      <w:r w:rsidRPr="00EA35CE">
        <w:rPr>
          <w:rFonts w:cs="Traditional Arabic"/>
          <w:sz w:val="42"/>
          <w:szCs w:val="42"/>
          <w:rtl/>
        </w:rPr>
        <w:t>د.محمد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ضياء الرحمن الأعظمي 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>الأسبوع الخامس: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الأصولية الإنجيلية المعاصرة تاريخها ونشأتها وأبرز عقائدها 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الأصول الوثنية في النصرانية 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مراجع مرشحة: الأصول الإنجيلية ،صالح </w:t>
      </w:r>
      <w:proofErr w:type="spellStart"/>
      <w:r w:rsidRPr="00EA35CE">
        <w:rPr>
          <w:rFonts w:cs="Traditional Arabic"/>
          <w:sz w:val="42"/>
          <w:szCs w:val="42"/>
          <w:rtl/>
        </w:rPr>
        <w:t>الهذلول.النبوة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والسياسة غريس </w:t>
      </w:r>
      <w:proofErr w:type="spellStart"/>
      <w:r w:rsidRPr="00EA35CE">
        <w:rPr>
          <w:rFonts w:cs="Traditional Arabic"/>
          <w:sz w:val="42"/>
          <w:szCs w:val="42"/>
          <w:rtl/>
        </w:rPr>
        <w:t>هالسل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. العقائد الوثنية في الديانة النصرانية ، محمد </w:t>
      </w:r>
      <w:proofErr w:type="spellStart"/>
      <w:r w:rsidRPr="00EA35CE">
        <w:rPr>
          <w:rFonts w:cs="Traditional Arabic"/>
          <w:sz w:val="42"/>
          <w:szCs w:val="42"/>
          <w:rtl/>
        </w:rPr>
        <w:t>التنير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. الأصول الوثنية للمسحية أندريه </w:t>
      </w:r>
      <w:proofErr w:type="spellStart"/>
      <w:r w:rsidRPr="00EA35CE">
        <w:rPr>
          <w:rFonts w:cs="Traditional Arabic"/>
          <w:sz w:val="42"/>
          <w:szCs w:val="42"/>
          <w:rtl/>
        </w:rPr>
        <w:t>نايتون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، ترجمة سميرة الزين .الصهيونية المسيحية، محمد السماك.      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>الأسبوع السادس: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دعوى النصارى في الوحي و الإلهام ونقدها. 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lastRenderedPageBreak/>
        <w:t xml:space="preserve">مراجع مرشحة: دعوى الإلهام </w:t>
      </w:r>
      <w:proofErr w:type="spellStart"/>
      <w:r w:rsidRPr="00EA35CE">
        <w:rPr>
          <w:rFonts w:cs="Traditional Arabic"/>
          <w:sz w:val="42"/>
          <w:szCs w:val="42"/>
          <w:rtl/>
        </w:rPr>
        <w:t>د.ناجي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محمد سلامة. وكذلك المراجع المرشحة في الفقرة التالية.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>الأسبوع السابع: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العهد الجديد مصادره وتاريخ تدوينه وحجيته ونقد سنده ومتنه وإثبات تحريفه والرد على دعوى النصارى بإثبات عصمته.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مراجع مرشحة: في مقارنة الأديان د. محمد الشرقاوي، محمد صلى الله عليه وسلم في التوراة والإنجيل والقرآن، إبراهيم </w:t>
      </w:r>
      <w:proofErr w:type="spellStart"/>
      <w:r w:rsidRPr="00EA35CE">
        <w:rPr>
          <w:rFonts w:cs="Traditional Arabic"/>
          <w:sz w:val="42"/>
          <w:szCs w:val="42"/>
          <w:rtl/>
        </w:rPr>
        <w:t>خليل.الفارق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بين المخلوق </w:t>
      </w:r>
      <w:proofErr w:type="spellStart"/>
      <w:r w:rsidRPr="00EA35CE">
        <w:rPr>
          <w:rFonts w:cs="Traditional Arabic"/>
          <w:sz w:val="42"/>
          <w:szCs w:val="42"/>
          <w:rtl/>
        </w:rPr>
        <w:t>والخالق.عبد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الرحمن </w:t>
      </w:r>
      <w:proofErr w:type="spellStart"/>
      <w:r w:rsidRPr="00EA35CE">
        <w:rPr>
          <w:rFonts w:cs="Traditional Arabic"/>
          <w:sz w:val="42"/>
          <w:szCs w:val="42"/>
          <w:rtl/>
        </w:rPr>
        <w:t>باجه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جي زاده، تحريف الإنجيل حقيقة أم افتراء. فريز صموئيل. عصمة الكتاب المقدس واستحالة </w:t>
      </w:r>
      <w:proofErr w:type="spellStart"/>
      <w:r w:rsidRPr="00EA35CE">
        <w:rPr>
          <w:rFonts w:cs="Traditional Arabic"/>
          <w:sz w:val="42"/>
          <w:szCs w:val="42"/>
          <w:rtl/>
        </w:rPr>
        <w:t>تحريفة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القس صموئيل مشرفي ،       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>الأسبوع الثامن</w:t>
      </w:r>
      <w:r w:rsidRPr="00EA35CE">
        <w:rPr>
          <w:rFonts w:cs="Traditional Arabic"/>
          <w:sz w:val="42"/>
          <w:szCs w:val="42"/>
          <w:rtl/>
        </w:rPr>
        <w:t>: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نقد بعض عقائد النصارى في الألوهية، البنوة، التثليث، التجسد، ونقد هذه العقائد.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مراجع مرشحة:</w:t>
      </w:r>
      <w:r w:rsidR="00A45E51">
        <w:rPr>
          <w:rFonts w:cs="Traditional Arabic" w:hint="cs"/>
          <w:sz w:val="42"/>
          <w:szCs w:val="42"/>
          <w:rtl/>
        </w:rPr>
        <w:t xml:space="preserve"> </w:t>
      </w:r>
      <w:bookmarkStart w:id="0" w:name="_GoBack"/>
      <w:bookmarkEnd w:id="0"/>
      <w:r w:rsidRPr="00EA35CE">
        <w:rPr>
          <w:rFonts w:cs="Traditional Arabic"/>
          <w:sz w:val="42"/>
          <w:szCs w:val="42"/>
          <w:rtl/>
        </w:rPr>
        <w:t xml:space="preserve">الجواب الصحيح لمن بدل دين المسيح، لشيخ الإسلام ابن تيمية، هداية الحيارى، لابن القيم، النصرانية من الوحدانية إلى التثليث، عمر الحاج ، عقيدة الصلب محمد رشيد رضا، ألوهية المسيح ، محمد حسن عبد الرحمن، بولس وتحريف النصرانية ،هيم </w:t>
      </w:r>
      <w:proofErr w:type="spellStart"/>
      <w:r w:rsidRPr="00EA35CE">
        <w:rPr>
          <w:rFonts w:cs="Traditional Arabic"/>
          <w:sz w:val="42"/>
          <w:szCs w:val="42"/>
          <w:rtl/>
        </w:rPr>
        <w:t>ماكبي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، ترجمة سميرة الزين. تحفة الأريب، في الرد على عباد الصليب عبد الله الترجمان.   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>الأسبوع التاسع: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نقد أساس عقيدة الفداء والكفارة والصلب مقارنة بما كتبه بعض القساوسة والرد عليها.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مراجع مرشحة: الغفران إبراهيم خليل، من هو المصلوب؟، </w:t>
      </w:r>
      <w:proofErr w:type="spellStart"/>
      <w:r w:rsidRPr="00EA35CE">
        <w:rPr>
          <w:rFonts w:cs="Traditional Arabic"/>
          <w:sz w:val="42"/>
          <w:szCs w:val="42"/>
          <w:rtl/>
        </w:rPr>
        <w:t>د.فزير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صموئيل. الإنجيل والصليب، عبد الأحد داود. 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lastRenderedPageBreak/>
        <w:t>الأسبوع العاشر: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>امتحان أعمال السنة.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 xml:space="preserve">الأسبوع الحادي عشر: 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proofErr w:type="spellStart"/>
      <w:r w:rsidRPr="00EA35CE">
        <w:rPr>
          <w:rFonts w:cs="Traditional Arabic"/>
          <w:sz w:val="42"/>
          <w:szCs w:val="42"/>
          <w:rtl/>
        </w:rPr>
        <w:t>البابية:البهائية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</w:t>
      </w:r>
      <w:proofErr w:type="spellStart"/>
      <w:r w:rsidRPr="00EA35CE">
        <w:rPr>
          <w:rFonts w:cs="Traditional Arabic"/>
          <w:sz w:val="42"/>
          <w:szCs w:val="42"/>
          <w:rtl/>
        </w:rPr>
        <w:t>والقديانية</w:t>
      </w:r>
      <w:proofErr w:type="spellEnd"/>
      <w:r w:rsidRPr="00EA35CE">
        <w:rPr>
          <w:rFonts w:cs="Traditional Arabic"/>
          <w:sz w:val="42"/>
          <w:szCs w:val="42"/>
          <w:rtl/>
        </w:rPr>
        <w:t>: امتدادهم للباطنية، محاولاتهم هدم عقيدة ختم النبوة بقصد هدم الإسلام وشريعته،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تأويلاتهم الباطلة، قول البابية والبهائية بالحلول بادعاء غلام أحمد للنبوة. ونقدها بالأدلة السمعية والعقلية.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مراجع </w:t>
      </w:r>
      <w:proofErr w:type="spellStart"/>
      <w:r w:rsidRPr="00EA35CE">
        <w:rPr>
          <w:rFonts w:cs="Traditional Arabic"/>
          <w:sz w:val="42"/>
          <w:szCs w:val="42"/>
          <w:rtl/>
        </w:rPr>
        <w:t>مرشحة:البابية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إحسان </w:t>
      </w:r>
      <w:proofErr w:type="spellStart"/>
      <w:r w:rsidRPr="00EA35CE">
        <w:rPr>
          <w:rFonts w:cs="Traditional Arabic"/>
          <w:sz w:val="42"/>
          <w:szCs w:val="42"/>
          <w:rtl/>
        </w:rPr>
        <w:t>إلهي.البهائية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إحسان </w:t>
      </w:r>
      <w:proofErr w:type="spellStart"/>
      <w:r w:rsidRPr="00EA35CE">
        <w:rPr>
          <w:rFonts w:cs="Traditional Arabic"/>
          <w:sz w:val="42"/>
          <w:szCs w:val="42"/>
          <w:rtl/>
        </w:rPr>
        <w:t>إلهي.حقيقة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البابية والبهائية محمد عبد الحميد، البابية والبهائية وأهدافها أحمد حجر </w:t>
      </w:r>
      <w:proofErr w:type="spellStart"/>
      <w:r w:rsidRPr="00EA35CE">
        <w:rPr>
          <w:rFonts w:cs="Traditional Arabic"/>
          <w:sz w:val="42"/>
          <w:szCs w:val="42"/>
          <w:rtl/>
        </w:rPr>
        <w:t>البوطامي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عقيدة ختم النبوة ،أحمد الغامدي 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>الأسبوع الثاني عشر: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4-قضية النبوة لدى الزراد </w:t>
      </w:r>
      <w:proofErr w:type="spellStart"/>
      <w:r w:rsidRPr="00EA35CE">
        <w:rPr>
          <w:rFonts w:cs="Traditional Arabic"/>
          <w:sz w:val="42"/>
          <w:szCs w:val="42"/>
          <w:rtl/>
        </w:rPr>
        <w:t>شتية،والكنفوشيوسية</w:t>
      </w:r>
      <w:proofErr w:type="spellEnd"/>
      <w:r w:rsidRPr="00EA35CE">
        <w:rPr>
          <w:rFonts w:cs="Traditional Arabic"/>
          <w:sz w:val="42"/>
          <w:szCs w:val="42"/>
          <w:rtl/>
        </w:rPr>
        <w:t>، بيان أساسها ونقدها بالأدلة السمعية والعقلية .</w:t>
      </w:r>
    </w:p>
    <w:p w:rsidR="00EA35CE" w:rsidRPr="00EA35CE" w:rsidRDefault="00EA35CE" w:rsidP="00EA35CE">
      <w:p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مراجع مرشحة: محاضرات في مقارنات الأديان محمد أبو زهرة، الملل والنحل </w:t>
      </w:r>
      <w:proofErr w:type="spellStart"/>
      <w:r w:rsidRPr="00EA35CE">
        <w:rPr>
          <w:rFonts w:cs="Traditional Arabic"/>
          <w:sz w:val="42"/>
          <w:szCs w:val="42"/>
          <w:rtl/>
        </w:rPr>
        <w:t>للشهرستاني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، </w:t>
      </w:r>
      <w:proofErr w:type="spellStart"/>
      <w:r w:rsidRPr="00EA35CE">
        <w:rPr>
          <w:rFonts w:cs="Traditional Arabic"/>
          <w:sz w:val="42"/>
          <w:szCs w:val="42"/>
          <w:rtl/>
        </w:rPr>
        <w:t>كنفشيوس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النبي الصيني، حسن سعفان، </w:t>
      </w:r>
    </w:p>
    <w:p w:rsidR="00EA35CE" w:rsidRPr="00EA35CE" w:rsidRDefault="00EA35CE" w:rsidP="00EA35CE">
      <w:pPr>
        <w:jc w:val="center"/>
        <w:rPr>
          <w:rFonts w:cs="Traditional Arabic"/>
          <w:sz w:val="42"/>
          <w:szCs w:val="42"/>
          <w:u w:val="single"/>
          <w:rtl/>
        </w:rPr>
      </w:pPr>
      <w:r w:rsidRPr="00EA35CE">
        <w:rPr>
          <w:rFonts w:cs="Traditional Arabic"/>
          <w:sz w:val="42"/>
          <w:szCs w:val="42"/>
          <w:u w:val="single"/>
          <w:rtl/>
        </w:rPr>
        <w:t>الكتب المقررة والمراجع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_ابن قيم الجوزية (ت751).،هداية الحيارى في الرد على اليهود والنصارى.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- رحمة الله بن خليل الرحمن </w:t>
      </w:r>
      <w:proofErr w:type="spellStart"/>
      <w:r w:rsidRPr="00EA35CE">
        <w:rPr>
          <w:rFonts w:cs="Traditional Arabic"/>
          <w:sz w:val="42"/>
          <w:szCs w:val="42"/>
          <w:rtl/>
        </w:rPr>
        <w:t>الكيرانوي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، إظهار الحق  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-الباجي علاء الدين علي بن محمد بن عبدا لرحمن (ت714).على التوراة </w:t>
      </w:r>
      <w:proofErr w:type="spellStart"/>
      <w:r w:rsidRPr="00EA35CE">
        <w:rPr>
          <w:rFonts w:cs="Traditional Arabic"/>
          <w:sz w:val="42"/>
          <w:szCs w:val="42"/>
          <w:rtl/>
        </w:rPr>
        <w:t>تحقيق.د</w:t>
      </w:r>
      <w:proofErr w:type="spellEnd"/>
      <w:r w:rsidRPr="00EA35CE">
        <w:rPr>
          <w:rFonts w:cs="Traditional Arabic"/>
          <w:sz w:val="42"/>
          <w:szCs w:val="42"/>
          <w:rtl/>
        </w:rPr>
        <w:t>/أحمد حجازي.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proofErr w:type="spellStart"/>
      <w:r w:rsidRPr="00EA35CE">
        <w:rPr>
          <w:rFonts w:cs="Traditional Arabic"/>
          <w:sz w:val="42"/>
          <w:szCs w:val="42"/>
          <w:rtl/>
        </w:rPr>
        <w:t>سبنيوزا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</w:t>
      </w:r>
      <w:proofErr w:type="spellStart"/>
      <w:r w:rsidRPr="00EA35CE">
        <w:rPr>
          <w:rFonts w:cs="Traditional Arabic"/>
          <w:sz w:val="42"/>
          <w:szCs w:val="42"/>
          <w:rtl/>
        </w:rPr>
        <w:t>باروخ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(ت1666م).رسالة في اللاهوت والسياسة ،تقديم وترجمة حسن حنفي.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lastRenderedPageBreak/>
        <w:t>-</w:t>
      </w:r>
      <w:proofErr w:type="spellStart"/>
      <w:r w:rsidRPr="00EA35CE">
        <w:rPr>
          <w:rFonts w:cs="Traditional Arabic"/>
          <w:sz w:val="42"/>
          <w:szCs w:val="42"/>
          <w:rtl/>
        </w:rPr>
        <w:t>السموءل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المغربي بن يحيى المغربي أبو نصر (ت570ه). إفحام اليهود. </w:t>
      </w:r>
      <w:proofErr w:type="spellStart"/>
      <w:r w:rsidRPr="00EA35CE">
        <w:rPr>
          <w:rFonts w:cs="Traditional Arabic"/>
          <w:sz w:val="42"/>
          <w:szCs w:val="42"/>
          <w:rtl/>
        </w:rPr>
        <w:t>تحقيق.د</w:t>
      </w:r>
      <w:proofErr w:type="spellEnd"/>
      <w:r w:rsidRPr="00EA35CE">
        <w:rPr>
          <w:rFonts w:cs="Traditional Arabic"/>
          <w:sz w:val="42"/>
          <w:szCs w:val="42"/>
          <w:rtl/>
        </w:rPr>
        <w:t>/محمد عبد الله الشرقاوي.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-د/عبد الرؤوف شلبي . اليهود.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 -الجويني أبو المعالي (ت478).شفاء الغليل في بيان ما وقع في التوراة والإنجيل من التبديل. تحقيق د/أحمد </w:t>
      </w:r>
      <w:proofErr w:type="spellStart"/>
      <w:r w:rsidRPr="00EA35CE">
        <w:rPr>
          <w:rFonts w:cs="Traditional Arabic"/>
          <w:sz w:val="42"/>
          <w:szCs w:val="42"/>
          <w:rtl/>
        </w:rPr>
        <w:t>حجازي.نشر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الرئاسة العامة لإدارات البحوث.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-القرافي شهاب الدين (ت684ه).الأجوبة الفاخرة في الرد على الأسئلة الفاجرة، ابن حزم علي بن أحمد أبو محمد (ت456ه). الفصل في الملل والأهواء والنحل.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-الشيخ محمد أبو </w:t>
      </w:r>
      <w:proofErr w:type="spellStart"/>
      <w:r w:rsidRPr="00EA35CE">
        <w:rPr>
          <w:rFonts w:cs="Traditional Arabic"/>
          <w:sz w:val="42"/>
          <w:szCs w:val="42"/>
          <w:rtl/>
        </w:rPr>
        <w:t>زهرة.محاضرات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في النصرانية.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-أحمد بن عبد الوهاب النبوة والأنبياء .نشر مكتبة وهبة القاهرة.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رسالة (الدكتوراه) .د/عبد الله عثمان </w:t>
      </w:r>
      <w:proofErr w:type="spellStart"/>
      <w:r w:rsidRPr="00EA35CE">
        <w:rPr>
          <w:rFonts w:cs="Traditional Arabic"/>
          <w:sz w:val="42"/>
          <w:szCs w:val="42"/>
          <w:rtl/>
        </w:rPr>
        <w:t>الكوكي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.الوحي عند أهل الكتاب دراسة نقدية على ضوء الإسلام . الشيخ محمد الخضر حسين، </w:t>
      </w:r>
      <w:proofErr w:type="spellStart"/>
      <w:r w:rsidRPr="00EA35CE">
        <w:rPr>
          <w:rFonts w:cs="Traditional Arabic"/>
          <w:sz w:val="42"/>
          <w:szCs w:val="42"/>
          <w:rtl/>
        </w:rPr>
        <w:t>القديانية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والبائية، الدكتور عبد المنعم أحمد </w:t>
      </w:r>
      <w:proofErr w:type="spellStart"/>
      <w:r w:rsidRPr="00EA35CE">
        <w:rPr>
          <w:rFonts w:cs="Traditional Arabic"/>
          <w:sz w:val="42"/>
          <w:szCs w:val="42"/>
          <w:rtl/>
        </w:rPr>
        <w:t>النمر.البابلية</w:t>
      </w:r>
      <w:proofErr w:type="spellEnd"/>
      <w:r w:rsidRPr="00EA35CE">
        <w:rPr>
          <w:rFonts w:cs="Traditional Arabic"/>
          <w:sz w:val="42"/>
          <w:szCs w:val="42"/>
          <w:rtl/>
        </w:rPr>
        <w:t xml:space="preserve"> والبهائية تاريخ ووثائق.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21D3B" w:rsidRDefault="00E21D3B" w:rsidP="00E21D3B">
      <w:pPr>
        <w:rPr>
          <w:rFonts w:cs="Traditional Arabic"/>
          <w:sz w:val="42"/>
          <w:szCs w:val="42"/>
          <w:rtl/>
        </w:rPr>
      </w:pPr>
    </w:p>
    <w:p w:rsidR="00E21D3B" w:rsidRDefault="00E21D3B" w:rsidP="00E21D3B">
      <w:pPr>
        <w:rPr>
          <w:rFonts w:cs="Traditional Arabic"/>
          <w:sz w:val="42"/>
          <w:szCs w:val="42"/>
          <w:rtl/>
        </w:rPr>
      </w:pPr>
    </w:p>
    <w:p w:rsidR="00E21D3B" w:rsidRDefault="00E21D3B" w:rsidP="00E21D3B">
      <w:pPr>
        <w:rPr>
          <w:rFonts w:cs="Traditional Arabic"/>
          <w:sz w:val="42"/>
          <w:szCs w:val="42"/>
          <w:rtl/>
        </w:rPr>
      </w:pPr>
    </w:p>
    <w:p w:rsidR="00E21D3B" w:rsidRDefault="00E21D3B" w:rsidP="00E21D3B">
      <w:pPr>
        <w:rPr>
          <w:rFonts w:cs="Traditional Arabic"/>
          <w:sz w:val="42"/>
          <w:szCs w:val="42"/>
          <w:rtl/>
        </w:rPr>
      </w:pPr>
    </w:p>
    <w:p w:rsidR="00E21D3B" w:rsidRDefault="00E21D3B" w:rsidP="00E21D3B">
      <w:pPr>
        <w:rPr>
          <w:rFonts w:cs="Traditional Arabic"/>
          <w:sz w:val="42"/>
          <w:szCs w:val="42"/>
          <w:rtl/>
        </w:rPr>
      </w:pPr>
    </w:p>
    <w:p w:rsidR="00E21D3B" w:rsidRDefault="00E21D3B" w:rsidP="00E21D3B">
      <w:pPr>
        <w:rPr>
          <w:rFonts w:cs="Traditional Arabic"/>
          <w:sz w:val="42"/>
          <w:szCs w:val="42"/>
          <w:rtl/>
        </w:rPr>
      </w:pPr>
    </w:p>
    <w:p w:rsidR="00E21D3B" w:rsidRPr="00EA35CE" w:rsidRDefault="00E21D3B" w:rsidP="000E226E">
      <w:pPr>
        <w:rPr>
          <w:rFonts w:cs="Traditional Arabic"/>
          <w:sz w:val="42"/>
          <w:szCs w:val="42"/>
          <w:rtl/>
        </w:rPr>
      </w:pPr>
      <w:r>
        <w:rPr>
          <w:rFonts w:cs="Traditional Arabic" w:hint="cs"/>
          <w:sz w:val="42"/>
          <w:szCs w:val="42"/>
          <w:rtl/>
        </w:rPr>
        <w:t>المطلوب حفظكم ا</w:t>
      </w:r>
      <w:r w:rsidR="000E226E">
        <w:rPr>
          <w:rFonts w:cs="Traditional Arabic" w:hint="cs"/>
          <w:sz w:val="42"/>
          <w:szCs w:val="42"/>
          <w:rtl/>
        </w:rPr>
        <w:t xml:space="preserve">لله إن استطعنا </w:t>
      </w:r>
      <w:r>
        <w:rPr>
          <w:rFonts w:cs="Traditional Arabic" w:hint="cs"/>
          <w:sz w:val="42"/>
          <w:szCs w:val="42"/>
          <w:rtl/>
        </w:rPr>
        <w:t xml:space="preserve">ان تقدم كل طالبة بحثين </w:t>
      </w:r>
      <w:r w:rsidR="000E226E">
        <w:rPr>
          <w:rFonts w:cs="Traditional Arabic" w:hint="cs"/>
          <w:sz w:val="42"/>
          <w:szCs w:val="42"/>
          <w:rtl/>
        </w:rPr>
        <w:t xml:space="preserve">والموضوعات المقترحة هي: </w:t>
      </w:r>
    </w:p>
    <w:p w:rsidR="00EA35CE" w:rsidRDefault="00E21D3B" w:rsidP="00E21D3B">
      <w:pPr>
        <w:pStyle w:val="a4"/>
        <w:numPr>
          <w:ilvl w:val="0"/>
          <w:numId w:val="1"/>
        </w:numPr>
        <w:rPr>
          <w:rFonts w:cs="Traditional Arabic"/>
          <w:sz w:val="42"/>
          <w:szCs w:val="42"/>
        </w:rPr>
      </w:pPr>
      <w:r w:rsidRPr="00E21D3B">
        <w:rPr>
          <w:rFonts w:cs="Traditional Arabic"/>
          <w:sz w:val="42"/>
          <w:szCs w:val="42"/>
          <w:rtl/>
        </w:rPr>
        <w:t xml:space="preserve">الطوائف اليهودية، القديمة والحديثة المعاصرة (الأرثوذكس، الإصلاحيون، المحافظون، </w:t>
      </w:r>
      <w:proofErr w:type="spellStart"/>
      <w:r w:rsidRPr="00E21D3B">
        <w:rPr>
          <w:rFonts w:cs="Traditional Arabic"/>
          <w:sz w:val="42"/>
          <w:szCs w:val="42"/>
          <w:rtl/>
        </w:rPr>
        <w:t>الصهيونيون</w:t>
      </w:r>
      <w:proofErr w:type="spellEnd"/>
      <w:r w:rsidRPr="00E21D3B">
        <w:rPr>
          <w:rFonts w:cs="Traditional Arabic"/>
          <w:sz w:val="42"/>
          <w:szCs w:val="42"/>
          <w:rtl/>
        </w:rPr>
        <w:t>)</w:t>
      </w:r>
    </w:p>
    <w:p w:rsidR="00E21D3B" w:rsidRPr="00E21D3B" w:rsidRDefault="00E21D3B" w:rsidP="00E21D3B">
      <w:pPr>
        <w:pStyle w:val="a4"/>
        <w:numPr>
          <w:ilvl w:val="0"/>
          <w:numId w:val="1"/>
        </w:numPr>
        <w:jc w:val="lowKashida"/>
        <w:rPr>
          <w:rFonts w:cs="Traditional Arabic"/>
          <w:sz w:val="42"/>
          <w:szCs w:val="42"/>
          <w:rtl/>
        </w:rPr>
      </w:pPr>
      <w:r w:rsidRPr="00E21D3B">
        <w:rPr>
          <w:rFonts w:cs="Traditional Arabic"/>
          <w:sz w:val="42"/>
          <w:szCs w:val="42"/>
          <w:rtl/>
        </w:rPr>
        <w:t xml:space="preserve">النبوة والأنبياء عند اليهود، مراتبها ونقدها . </w:t>
      </w:r>
    </w:p>
    <w:p w:rsidR="00E21D3B" w:rsidRDefault="00E21D3B" w:rsidP="00E21D3B">
      <w:pPr>
        <w:pStyle w:val="a4"/>
        <w:numPr>
          <w:ilvl w:val="0"/>
          <w:numId w:val="1"/>
        </w:numPr>
        <w:jc w:val="lowKashida"/>
        <w:rPr>
          <w:rFonts w:cs="Traditional Arabic"/>
          <w:sz w:val="42"/>
          <w:szCs w:val="42"/>
        </w:rPr>
      </w:pPr>
      <w:r w:rsidRPr="00E21D3B">
        <w:rPr>
          <w:rFonts w:cs="Traditional Arabic"/>
          <w:sz w:val="42"/>
          <w:szCs w:val="42"/>
          <w:rtl/>
        </w:rPr>
        <w:t>التوراة مصادر ها وترجماتها، نقد التوراة علمياً وتاريخيا، وموقف القرآن من التوراة.</w:t>
      </w:r>
    </w:p>
    <w:p w:rsidR="00E21D3B" w:rsidRPr="00E21D3B" w:rsidRDefault="00E21D3B" w:rsidP="00E21D3B">
      <w:pPr>
        <w:pStyle w:val="a4"/>
        <w:numPr>
          <w:ilvl w:val="0"/>
          <w:numId w:val="1"/>
        </w:numPr>
        <w:jc w:val="lowKashida"/>
        <w:rPr>
          <w:rFonts w:cs="Traditional Arabic"/>
          <w:sz w:val="42"/>
          <w:szCs w:val="42"/>
          <w:rtl/>
        </w:rPr>
      </w:pPr>
      <w:r w:rsidRPr="00E21D3B">
        <w:rPr>
          <w:rFonts w:cs="Traditional Arabic"/>
          <w:sz w:val="42"/>
          <w:szCs w:val="42"/>
          <w:rtl/>
        </w:rPr>
        <w:t xml:space="preserve">بقية أسفار العهد القديم مصادرها وتدوينها نقدها سندا ومتنا . </w:t>
      </w:r>
    </w:p>
    <w:p w:rsidR="00E21D3B" w:rsidRPr="00E21D3B" w:rsidRDefault="00E21D3B" w:rsidP="00E21D3B">
      <w:pPr>
        <w:pStyle w:val="a4"/>
        <w:numPr>
          <w:ilvl w:val="0"/>
          <w:numId w:val="1"/>
        </w:numPr>
        <w:jc w:val="lowKashida"/>
        <w:rPr>
          <w:rFonts w:cs="Traditional Arabic"/>
          <w:sz w:val="42"/>
          <w:szCs w:val="42"/>
          <w:rtl/>
        </w:rPr>
      </w:pPr>
      <w:r w:rsidRPr="00E21D3B">
        <w:rPr>
          <w:rFonts w:cs="Traditional Arabic"/>
          <w:sz w:val="42"/>
          <w:szCs w:val="42"/>
          <w:rtl/>
        </w:rPr>
        <w:t>التلمود حقيقته وأقسامه ومصادره وحجيته ومكانته عند اليهود .</w:t>
      </w:r>
    </w:p>
    <w:p w:rsidR="00E21D3B" w:rsidRPr="00E21D3B" w:rsidRDefault="00E21D3B" w:rsidP="00E21D3B">
      <w:pPr>
        <w:pStyle w:val="a4"/>
        <w:numPr>
          <w:ilvl w:val="0"/>
          <w:numId w:val="1"/>
        </w:numPr>
        <w:jc w:val="lowKashida"/>
        <w:rPr>
          <w:rFonts w:cs="Traditional Arabic"/>
          <w:sz w:val="42"/>
          <w:szCs w:val="42"/>
          <w:rtl/>
        </w:rPr>
      </w:pPr>
      <w:r w:rsidRPr="00E21D3B">
        <w:rPr>
          <w:rFonts w:cs="Traditional Arabic"/>
          <w:sz w:val="42"/>
          <w:szCs w:val="42"/>
          <w:rtl/>
        </w:rPr>
        <w:t>النصرانية: تسميتهم، فتنتهم، انحرافهم فرق النصرانية القديمة والمعاصرة، عقائدها وتاريخا.</w:t>
      </w:r>
    </w:p>
    <w:p w:rsidR="00E21D3B" w:rsidRPr="00E21D3B" w:rsidRDefault="00E21D3B" w:rsidP="00E21D3B">
      <w:pPr>
        <w:pStyle w:val="a4"/>
        <w:numPr>
          <w:ilvl w:val="0"/>
          <w:numId w:val="1"/>
        </w:numPr>
        <w:jc w:val="lowKashida"/>
        <w:rPr>
          <w:rFonts w:cs="Traditional Arabic"/>
          <w:sz w:val="42"/>
          <w:szCs w:val="42"/>
          <w:rtl/>
        </w:rPr>
      </w:pPr>
      <w:r w:rsidRPr="00E21D3B">
        <w:rPr>
          <w:rFonts w:cs="Traditional Arabic"/>
          <w:sz w:val="42"/>
          <w:szCs w:val="42"/>
          <w:rtl/>
        </w:rPr>
        <w:t>الأصولية الإنجيلية المعاصرة تاريخها ونشأتها وأبرز عقائدها .</w:t>
      </w:r>
    </w:p>
    <w:p w:rsidR="00E21D3B" w:rsidRPr="00E21D3B" w:rsidRDefault="00E21D3B" w:rsidP="00E21D3B">
      <w:pPr>
        <w:pStyle w:val="a4"/>
        <w:numPr>
          <w:ilvl w:val="0"/>
          <w:numId w:val="1"/>
        </w:numPr>
        <w:jc w:val="lowKashida"/>
        <w:rPr>
          <w:rFonts w:cs="Traditional Arabic"/>
          <w:sz w:val="42"/>
          <w:szCs w:val="42"/>
          <w:rtl/>
        </w:rPr>
      </w:pPr>
      <w:r w:rsidRPr="00E21D3B">
        <w:rPr>
          <w:rFonts w:cs="Traditional Arabic"/>
          <w:sz w:val="42"/>
          <w:szCs w:val="42"/>
          <w:rtl/>
        </w:rPr>
        <w:t xml:space="preserve">دعوى النصارى في الوحي و الإلهام ونقدها. </w:t>
      </w:r>
    </w:p>
    <w:p w:rsidR="00E21D3B" w:rsidRDefault="00E21D3B" w:rsidP="00E21D3B">
      <w:pPr>
        <w:pStyle w:val="a4"/>
        <w:numPr>
          <w:ilvl w:val="0"/>
          <w:numId w:val="1"/>
        </w:numPr>
        <w:jc w:val="lowKashida"/>
        <w:rPr>
          <w:rFonts w:cs="Traditional Arabic"/>
          <w:sz w:val="42"/>
          <w:szCs w:val="42"/>
        </w:rPr>
      </w:pPr>
      <w:r w:rsidRPr="00E21D3B">
        <w:rPr>
          <w:rFonts w:cs="Traditional Arabic"/>
          <w:sz w:val="42"/>
          <w:szCs w:val="42"/>
          <w:rtl/>
        </w:rPr>
        <w:t>العهد الجديد مصادره وتاريخ تدوينه وحجيته ونقد سنده ومتنه وإثبات تحريفه والرد على دعوى النصارى بإثبات عصمته.</w:t>
      </w:r>
    </w:p>
    <w:p w:rsidR="002C0D56" w:rsidRDefault="002C0D56" w:rsidP="00E21D3B">
      <w:pPr>
        <w:pStyle w:val="a4"/>
        <w:numPr>
          <w:ilvl w:val="0"/>
          <w:numId w:val="1"/>
        </w:numPr>
        <w:jc w:val="lowKashida"/>
        <w:rPr>
          <w:rFonts w:cs="Traditional Arabic"/>
          <w:sz w:val="42"/>
          <w:szCs w:val="42"/>
        </w:rPr>
      </w:pPr>
      <w:r>
        <w:rPr>
          <w:rFonts w:cs="Traditional Arabic" w:hint="cs"/>
          <w:sz w:val="42"/>
          <w:szCs w:val="42"/>
          <w:rtl/>
        </w:rPr>
        <w:t xml:space="preserve">أثر بولس في تحريف النصرانية </w:t>
      </w:r>
    </w:p>
    <w:p w:rsidR="002C0D56" w:rsidRPr="00E21D3B" w:rsidRDefault="002C0D56" w:rsidP="00E21D3B">
      <w:pPr>
        <w:pStyle w:val="a4"/>
        <w:numPr>
          <w:ilvl w:val="0"/>
          <w:numId w:val="1"/>
        </w:numPr>
        <w:jc w:val="lowKashida"/>
        <w:rPr>
          <w:rFonts w:cs="Traditional Arabic"/>
          <w:sz w:val="42"/>
          <w:szCs w:val="42"/>
          <w:rtl/>
        </w:rPr>
      </w:pPr>
      <w:r>
        <w:rPr>
          <w:rFonts w:cs="Traditional Arabic" w:hint="cs"/>
          <w:sz w:val="42"/>
          <w:szCs w:val="42"/>
          <w:rtl/>
        </w:rPr>
        <w:t xml:space="preserve">الحوار مع النصارى تاريخه أهدافه بعض توصياته </w:t>
      </w:r>
    </w:p>
    <w:p w:rsidR="00E21D3B" w:rsidRPr="00EA35CE" w:rsidRDefault="00E21D3B" w:rsidP="00E21D3B">
      <w:pPr>
        <w:jc w:val="lowKashida"/>
        <w:rPr>
          <w:rFonts w:cs="Traditional Arabic"/>
          <w:sz w:val="42"/>
          <w:szCs w:val="42"/>
          <w:rtl/>
        </w:rPr>
      </w:pPr>
      <w:proofErr w:type="spellStart"/>
      <w:r w:rsidRPr="00E21D3B">
        <w:rPr>
          <w:rFonts w:cs="Traditional Arabic"/>
          <w:sz w:val="42"/>
          <w:szCs w:val="42"/>
          <w:rtl/>
        </w:rPr>
        <w:t>البابية:البهائية</w:t>
      </w:r>
      <w:proofErr w:type="spellEnd"/>
      <w:r w:rsidRPr="00E21D3B">
        <w:rPr>
          <w:rFonts w:cs="Traditional Arabic"/>
          <w:sz w:val="42"/>
          <w:szCs w:val="42"/>
          <w:rtl/>
        </w:rPr>
        <w:t xml:space="preserve"> </w:t>
      </w:r>
      <w:proofErr w:type="spellStart"/>
      <w:r w:rsidRPr="00E21D3B">
        <w:rPr>
          <w:rFonts w:cs="Traditional Arabic"/>
          <w:sz w:val="42"/>
          <w:szCs w:val="42"/>
          <w:rtl/>
        </w:rPr>
        <w:t>والقديانية</w:t>
      </w:r>
      <w:proofErr w:type="spellEnd"/>
      <w:r w:rsidRPr="00E21D3B">
        <w:rPr>
          <w:rFonts w:cs="Traditional Arabic"/>
          <w:sz w:val="42"/>
          <w:szCs w:val="42"/>
          <w:rtl/>
        </w:rPr>
        <w:t xml:space="preserve">: امتدادهم للباطنية، محاولاتهم هدم عقيدة ختم النبوة بقصد هدم الإسلام وشريعته، </w:t>
      </w:r>
      <w:r w:rsidRPr="00EA35CE">
        <w:rPr>
          <w:rFonts w:cs="Traditional Arabic"/>
          <w:sz w:val="42"/>
          <w:szCs w:val="42"/>
          <w:rtl/>
        </w:rPr>
        <w:t>تأويلاتهم الباطلة، قول البابية والبهائية بالحلول بادعاء غلام أحمد للنبوة. ونقدها بالأدلة السمعية والعقلية.</w:t>
      </w:r>
    </w:p>
    <w:p w:rsidR="00E21D3B" w:rsidRPr="00E21D3B" w:rsidRDefault="00E21D3B" w:rsidP="00E21D3B">
      <w:pPr>
        <w:pStyle w:val="a4"/>
        <w:numPr>
          <w:ilvl w:val="0"/>
          <w:numId w:val="1"/>
        </w:numPr>
        <w:jc w:val="lowKashida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lastRenderedPageBreak/>
        <w:t xml:space="preserve">قضية النبوة لدى الزراد </w:t>
      </w:r>
      <w:proofErr w:type="spellStart"/>
      <w:r w:rsidRPr="00EA35CE">
        <w:rPr>
          <w:rFonts w:cs="Traditional Arabic"/>
          <w:sz w:val="42"/>
          <w:szCs w:val="42"/>
          <w:rtl/>
        </w:rPr>
        <w:t>شتية،والكنفوشيوسية</w:t>
      </w:r>
      <w:proofErr w:type="spellEnd"/>
      <w:r w:rsidRPr="00EA35CE">
        <w:rPr>
          <w:rFonts w:cs="Traditional Arabic"/>
          <w:sz w:val="42"/>
          <w:szCs w:val="42"/>
          <w:rtl/>
        </w:rPr>
        <w:t>، بيان أساسها ونقدها بالأدلة السمعية والعقلية</w:t>
      </w:r>
    </w:p>
    <w:p w:rsidR="00E21D3B" w:rsidRPr="00E21D3B" w:rsidRDefault="00E21D3B" w:rsidP="00E21D3B">
      <w:pPr>
        <w:pStyle w:val="a4"/>
        <w:numPr>
          <w:ilvl w:val="0"/>
          <w:numId w:val="1"/>
        </w:numPr>
        <w:jc w:val="lowKashida"/>
        <w:rPr>
          <w:rFonts w:cs="Traditional Arabic"/>
          <w:sz w:val="42"/>
          <w:szCs w:val="42"/>
          <w:rtl/>
        </w:rPr>
      </w:pPr>
    </w:p>
    <w:p w:rsidR="00E21D3B" w:rsidRPr="00EA35CE" w:rsidRDefault="00E21D3B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                   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jc w:val="center"/>
        <w:rPr>
          <w:rFonts w:cs="Traditional Arabic"/>
          <w:sz w:val="42"/>
          <w:szCs w:val="42"/>
          <w:rtl/>
        </w:rPr>
      </w:pPr>
    </w:p>
    <w:p w:rsidR="00EA35CE" w:rsidRPr="00EA35CE" w:rsidRDefault="00EA35CE" w:rsidP="00EA35CE">
      <w:pPr>
        <w:jc w:val="center"/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>بسم الله الرحمن الرحيم</w:t>
      </w:r>
    </w:p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    </w:t>
      </w:r>
    </w:p>
    <w:tbl>
      <w:tblPr>
        <w:tblStyle w:val="a3"/>
        <w:bidiVisual/>
        <w:tblW w:w="5000" w:type="pct"/>
        <w:tblInd w:w="-193" w:type="dxa"/>
        <w:tblLook w:val="01E0" w:firstRow="1" w:lastRow="1" w:firstColumn="1" w:lastColumn="1" w:noHBand="0" w:noVBand="0"/>
      </w:tblPr>
      <w:tblGrid>
        <w:gridCol w:w="1058"/>
        <w:gridCol w:w="4287"/>
        <w:gridCol w:w="1432"/>
        <w:gridCol w:w="1745"/>
      </w:tblGrid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lastRenderedPageBreak/>
              <w:t>الأسبوع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 xml:space="preserve">           الموضوع                         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  <w:rtl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 xml:space="preserve">الطلاب                            </w:t>
            </w:r>
          </w:p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الطالبات</w:t>
            </w: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2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 xml:space="preserve">التعريف بالمادة ومفرداتها وبيان أهميتها        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3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اليهودية ونشأتها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 w:rsidP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4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التلمود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 w:rsidP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ا</w:t>
            </w: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5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الألوهية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6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 xml:space="preserve">المسيح 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 w:rsidP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7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البنوة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8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 xml:space="preserve">الاتحاد 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9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التثليث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10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الصلب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11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امتــحان أعمال السنة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12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المجامع النصرانية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 w:rsidP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ا</w:t>
            </w: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13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 xml:space="preserve">الزرادشتية  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 w:rsidP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</w:tr>
      <w:tr w:rsidR="00EA35CE" w:rsidRPr="00EA35CE" w:rsidTr="00EA35CE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r w:rsidRPr="00EA35CE">
              <w:rPr>
                <w:rFonts w:cs="Traditional Arabic"/>
                <w:sz w:val="42"/>
                <w:szCs w:val="42"/>
                <w:rtl/>
              </w:rPr>
              <w:t>14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  <w:proofErr w:type="spellStart"/>
            <w:r w:rsidRPr="00EA35CE">
              <w:rPr>
                <w:rFonts w:cs="Traditional Arabic"/>
                <w:sz w:val="42"/>
                <w:szCs w:val="42"/>
                <w:rtl/>
              </w:rPr>
              <w:t>الكنفشيوسية</w:t>
            </w:r>
            <w:proofErr w:type="spellEnd"/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5CE" w:rsidRPr="00EA35CE" w:rsidRDefault="00EA35CE">
            <w:pPr>
              <w:jc w:val="left"/>
              <w:rPr>
                <w:rFonts w:cs="Traditional Arabic"/>
                <w:sz w:val="42"/>
                <w:szCs w:val="42"/>
              </w:rPr>
            </w:pPr>
          </w:p>
        </w:tc>
      </w:tr>
    </w:tbl>
    <w:p w:rsidR="00EA35CE" w:rsidRPr="00EA35CE" w:rsidRDefault="00EA35CE" w:rsidP="00EA35CE">
      <w:pPr>
        <w:rPr>
          <w:rFonts w:cs="Traditional Arabic"/>
          <w:sz w:val="42"/>
          <w:szCs w:val="42"/>
          <w:rtl/>
        </w:rPr>
      </w:pPr>
      <w:r w:rsidRPr="00EA35CE">
        <w:rPr>
          <w:rFonts w:cs="Traditional Arabic"/>
          <w:sz w:val="42"/>
          <w:szCs w:val="42"/>
          <w:rtl/>
        </w:rPr>
        <w:t xml:space="preserve"> </w:t>
      </w:r>
    </w:p>
    <w:p w:rsidR="00006E48" w:rsidRPr="00EA35CE" w:rsidRDefault="00006E48">
      <w:pPr>
        <w:rPr>
          <w:sz w:val="30"/>
          <w:szCs w:val="30"/>
        </w:rPr>
      </w:pPr>
    </w:p>
    <w:sectPr w:rsidR="00006E48" w:rsidRPr="00EA35CE" w:rsidSect="000574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A1A59"/>
    <w:multiLevelType w:val="hybridMultilevel"/>
    <w:tmpl w:val="6C9E497A"/>
    <w:lvl w:ilvl="0" w:tplc="82C42FE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3D"/>
    <w:rsid w:val="00006E48"/>
    <w:rsid w:val="0005746A"/>
    <w:rsid w:val="000E226E"/>
    <w:rsid w:val="002356D3"/>
    <w:rsid w:val="002C0D56"/>
    <w:rsid w:val="0041563D"/>
    <w:rsid w:val="00A45E51"/>
    <w:rsid w:val="00B3212A"/>
    <w:rsid w:val="00C057D0"/>
    <w:rsid w:val="00C454E3"/>
    <w:rsid w:val="00E21D3B"/>
    <w:rsid w:val="00EA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5C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5CE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1D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5C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5CE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1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2012-09-08T21:16:00Z</dcterms:created>
  <dcterms:modified xsi:type="dcterms:W3CDTF">2012-10-17T04:52:00Z</dcterms:modified>
</cp:coreProperties>
</file>