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3F" w:rsidRPr="00955E3F" w:rsidRDefault="00955E3F" w:rsidP="00955E3F">
      <w:pPr>
        <w:rPr>
          <w:rtl/>
          <w:lang w:eastAsia="ar-SA"/>
        </w:rPr>
      </w:pPr>
    </w:p>
    <w:p w:rsidR="00881DCC" w:rsidRPr="00AB2EAC" w:rsidRDefault="00881DCC" w:rsidP="00881DCC">
      <w:pPr>
        <w:pStyle w:val="Heading5"/>
        <w:rPr>
          <w:rFonts w:cs="Traditional Arabic"/>
          <w:rtl/>
        </w:rPr>
      </w:pPr>
      <w:r w:rsidRPr="00AB2EAC">
        <w:rPr>
          <w:rFonts w:cs="Traditional Arabic" w:hint="cs"/>
          <w:rtl/>
        </w:rPr>
        <w:t>جامعة الملك سعود</w:t>
      </w:r>
    </w:p>
    <w:p w:rsidR="00881DCC" w:rsidRPr="00AB2EAC" w:rsidRDefault="00881DCC" w:rsidP="00881DCC">
      <w:pPr>
        <w:jc w:val="center"/>
        <w:rPr>
          <w:rFonts w:cs="Traditional Arabic"/>
          <w:sz w:val="28"/>
          <w:szCs w:val="28"/>
          <w:rtl/>
          <w:lang w:bidi="ar-JO"/>
        </w:rPr>
      </w:pP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26"/>
        <w:jc w:val="center"/>
        <w:rPr>
          <w:rFonts w:cs="Traditional Arabic"/>
          <w:sz w:val="28"/>
          <w:szCs w:val="28"/>
          <w:rtl/>
        </w:rPr>
      </w:pPr>
      <w:r w:rsidRPr="00AB2EAC">
        <w:rPr>
          <w:rFonts w:cs="Traditional Arabic" w:hint="cs"/>
          <w:sz w:val="28"/>
          <w:szCs w:val="28"/>
          <w:rtl/>
        </w:rPr>
        <w:t xml:space="preserve">                 كليــة: </w:t>
      </w:r>
      <w:r>
        <w:rPr>
          <w:rFonts w:cs="Traditional Arabic" w:hint="cs"/>
          <w:sz w:val="28"/>
          <w:szCs w:val="28"/>
          <w:rtl/>
        </w:rPr>
        <w:t xml:space="preserve">الدراسات التطبيقية و خدمة المجتمع </w:t>
      </w:r>
      <w:r w:rsidRPr="00AB2EAC">
        <w:rPr>
          <w:rFonts w:cs="Traditional Arabic" w:hint="cs"/>
          <w:sz w:val="28"/>
          <w:szCs w:val="28"/>
          <w:rtl/>
        </w:rPr>
        <w:t xml:space="preserve"> </w:t>
      </w:r>
    </w:p>
    <w:p w:rsidR="00881DCC" w:rsidRPr="00AB2EAC" w:rsidRDefault="00881DCC" w:rsidP="00881DCC">
      <w:pPr>
        <w:jc w:val="center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3957"/>
        <w:jc w:val="lef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برنامج /</w:t>
      </w:r>
      <w:r w:rsidRPr="00AB2EAC">
        <w:rPr>
          <w:rFonts w:cs="Traditional Arabic" w:hint="cs"/>
          <w:sz w:val="28"/>
          <w:szCs w:val="28"/>
          <w:rtl/>
        </w:rPr>
        <w:t xml:space="preserve"> العلوم  </w:t>
      </w:r>
      <w:r>
        <w:rPr>
          <w:rFonts w:cs="Traditional Arabic" w:hint="cs"/>
          <w:sz w:val="28"/>
          <w:szCs w:val="28"/>
          <w:rtl/>
        </w:rPr>
        <w:t>الطبيعية والهندسية</w:t>
      </w:r>
    </w:p>
    <w:p w:rsidR="00881DCC" w:rsidRPr="00AB2EAC" w:rsidRDefault="00881DCC" w:rsidP="000860CB">
      <w:pPr>
        <w:pStyle w:val="Heading6"/>
        <w:numPr>
          <w:ilvl w:val="0"/>
          <w:numId w:val="0"/>
        </w:numPr>
        <w:ind w:left="26"/>
        <w:jc w:val="center"/>
        <w:rPr>
          <w:rFonts w:cs="Traditional Arabic" w:hint="cs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</w:rPr>
        <w:t xml:space="preserve">           </w:t>
      </w:r>
      <w:r w:rsidRPr="00AB2EAC">
        <w:rPr>
          <w:rFonts w:cs="Traditional Arabic" w:hint="cs"/>
          <w:sz w:val="28"/>
          <w:szCs w:val="28"/>
          <w:rtl/>
        </w:rPr>
        <w:t xml:space="preserve">  الفصــــــل</w:t>
      </w:r>
      <w:r>
        <w:rPr>
          <w:rFonts w:cs="Traditional Arabic" w:hint="cs"/>
          <w:sz w:val="28"/>
          <w:szCs w:val="28"/>
          <w:rtl/>
        </w:rPr>
        <w:t xml:space="preserve"> الدراسي الثاني</w:t>
      </w:r>
      <w:r w:rsidRPr="00AB2EAC">
        <w:rPr>
          <w:rFonts w:cs="Traditional Arabic" w:hint="cs"/>
          <w:sz w:val="28"/>
          <w:szCs w:val="28"/>
          <w:rtl/>
        </w:rPr>
        <w:t xml:space="preserve">  من العام الجامعي </w:t>
      </w:r>
      <w:r>
        <w:rPr>
          <w:rFonts w:cs="Traditional Arabic" w:hint="cs"/>
          <w:sz w:val="28"/>
          <w:szCs w:val="28"/>
          <w:rtl/>
        </w:rPr>
        <w:t>:</w:t>
      </w:r>
      <w:r w:rsidR="000860CB">
        <w:rPr>
          <w:rFonts w:cs="Traditional Arabic"/>
          <w:sz w:val="28"/>
          <w:szCs w:val="28"/>
        </w:rPr>
        <w:t>1433</w:t>
      </w:r>
      <w:r w:rsidR="000860CB">
        <w:rPr>
          <w:rFonts w:cs="Traditional Arabic" w:hint="cs"/>
          <w:sz w:val="28"/>
          <w:szCs w:val="28"/>
          <w:rtl/>
          <w:lang w:bidi="ar-SA"/>
        </w:rPr>
        <w:t>/1434 هـ</w:t>
      </w:r>
    </w:p>
    <w:tbl>
      <w:tblPr>
        <w:bidiVisual/>
        <w:tblW w:w="9354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4844"/>
      </w:tblGrid>
      <w:tr w:rsidR="00881DCC" w:rsidRPr="00A230BD" w:rsidTr="008E2F10">
        <w:trPr>
          <w:gridAfter w:val="1"/>
          <w:wAfter w:w="3084" w:type="dxa"/>
          <w:jc w:val="center"/>
        </w:trPr>
        <w:tc>
          <w:tcPr>
            <w:tcW w:w="3164" w:type="dxa"/>
            <w:shd w:val="clear" w:color="auto" w:fill="CCCCCC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خطـــة تدريـــس المــقرر</w:t>
            </w:r>
          </w:p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A230BD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Course Syllabus</w:t>
            </w:r>
          </w:p>
        </w:tc>
      </w:tr>
      <w:tr w:rsidR="00881DCC" w:rsidRPr="00A230BD" w:rsidTr="008E2F10">
        <w:trPr>
          <w:jc w:val="center"/>
        </w:trPr>
        <w:tc>
          <w:tcPr>
            <w:tcW w:w="4510" w:type="dxa"/>
            <w:shd w:val="clear" w:color="auto" w:fill="auto"/>
            <w:vAlign w:val="center"/>
          </w:tcPr>
          <w:p w:rsidR="00881DCC" w:rsidRPr="00A230BD" w:rsidRDefault="00881DCC" w:rsidP="00881DCC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مــــقرر: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مبادئ الرياضيات المتقطعة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81DCC" w:rsidRPr="00A230BD" w:rsidRDefault="00881DCC" w:rsidP="00881DCC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رمز المقرر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1101 ريض</w:t>
            </w:r>
          </w:p>
        </w:tc>
      </w:tr>
      <w:tr w:rsidR="00881DCC" w:rsidRPr="00A230BD" w:rsidTr="008E2F10">
        <w:trPr>
          <w:jc w:val="center"/>
        </w:trPr>
        <w:tc>
          <w:tcPr>
            <w:tcW w:w="4510" w:type="dxa"/>
            <w:shd w:val="clear" w:color="auto" w:fill="auto"/>
            <w:vAlign w:val="center"/>
          </w:tcPr>
          <w:p w:rsidR="00881DCC" w:rsidRPr="00A230BD" w:rsidRDefault="00881DCC" w:rsidP="00881DCC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مستوى المقرر: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81DCC" w:rsidRPr="00A230BD" w:rsidRDefault="00881DCC" w:rsidP="00881DCC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المتطلب السابق :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881DCC" w:rsidRPr="00A230BD" w:rsidTr="008E2F10">
        <w:trPr>
          <w:jc w:val="center"/>
        </w:trPr>
        <w:tc>
          <w:tcPr>
            <w:tcW w:w="4510" w:type="dxa"/>
            <w:shd w:val="clear" w:color="auto" w:fill="auto"/>
            <w:vAlign w:val="center"/>
          </w:tcPr>
          <w:p w:rsidR="00881DCC" w:rsidRDefault="00881DCC" w:rsidP="000860CB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موعد المحاضرة: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الأحد </w:t>
            </w:r>
            <w:r w:rsidR="000860CB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11-12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,الاثنين </w:t>
            </w:r>
            <w:r w:rsidR="000860CB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1-3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881DCC" w:rsidRPr="00A230BD" w:rsidRDefault="00881DCC" w:rsidP="000860CB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الثلاثاء </w:t>
            </w:r>
            <w:r w:rsidR="000860CB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-12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10 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81DCC" w:rsidRPr="00A230BD" w:rsidRDefault="00881DCC" w:rsidP="00881DCC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الساعات المعتمدة: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ساعات </w:t>
            </w:r>
          </w:p>
        </w:tc>
      </w:tr>
    </w:tbl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b/>
          <w:bCs/>
          <w:sz w:val="28"/>
          <w:szCs w:val="28"/>
          <w:rtl/>
          <w:lang w:bidi="ar-JO"/>
        </w:rPr>
      </w:pPr>
    </w:p>
    <w:tbl>
      <w:tblPr>
        <w:bidiVisual/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1418"/>
        <w:gridCol w:w="1701"/>
        <w:gridCol w:w="1842"/>
        <w:gridCol w:w="3089"/>
      </w:tblGrid>
      <w:tr w:rsidR="00881DCC" w:rsidRPr="00A230BD" w:rsidTr="008E2F10">
        <w:trPr>
          <w:jc w:val="center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عضو هيئة التدريس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881DCC" w:rsidRPr="00A230BD" w:rsidTr="008E2F10">
        <w:trPr>
          <w:jc w:val="center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المكتب وموقعه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الساعات المكتبية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</w:tr>
      <w:tr w:rsidR="000860CB" w:rsidRPr="00A230BD" w:rsidTr="008E2F10">
        <w:trPr>
          <w:jc w:val="center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0CB" w:rsidRPr="00A230BD" w:rsidRDefault="000860CB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ليلى جاسم الزيد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0CB" w:rsidRPr="00A230BD" w:rsidRDefault="000860CB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0CB" w:rsidRPr="00A230BD" w:rsidRDefault="000860CB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مبنى 14 - القبة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0CB" w:rsidRDefault="000860CB" w:rsidP="00EF4A96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السبت 11-12</w:t>
            </w:r>
          </w:p>
          <w:p w:rsidR="000860CB" w:rsidRDefault="000860CB" w:rsidP="00EF4A96">
            <w:pPr>
              <w:spacing w:line="360" w:lineRule="auto"/>
              <w:ind w:right="-180"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الاثنين 11-1</w:t>
            </w:r>
          </w:p>
          <w:p w:rsidR="000860CB" w:rsidRPr="00AB23E1" w:rsidRDefault="000860CB" w:rsidP="00EF4A96">
            <w:pPr>
              <w:spacing w:line="360" w:lineRule="auto"/>
              <w:ind w:right="-180"/>
              <w:jc w:val="center"/>
              <w:rPr>
                <w:rFonts w:cs="Traditional Arabic" w:hint="cs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الاربعاء 11-12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0CB" w:rsidRPr="00AB23E1" w:rsidRDefault="000860CB" w:rsidP="00EF4A96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lang w:bidi="ar-JO"/>
              </w:rPr>
            </w:pPr>
            <w:r w:rsidRPr="00AB23E1">
              <w:rPr>
                <w:rFonts w:cs="Traditional Arabic"/>
                <w:b/>
                <w:bCs/>
                <w:lang w:bidi="ar-JO"/>
              </w:rPr>
              <w:t>la</w:t>
            </w:r>
            <w:r>
              <w:rPr>
                <w:rFonts w:cs="Traditional Arabic"/>
                <w:b/>
                <w:bCs/>
                <w:lang w:bidi="ar-JO"/>
              </w:rPr>
              <w:t>alzaid</w:t>
            </w:r>
            <w:r w:rsidRPr="00AB23E1">
              <w:rPr>
                <w:rFonts w:cs="Traditional Arabic"/>
                <w:b/>
                <w:bCs/>
                <w:lang w:bidi="ar-JO"/>
              </w:rPr>
              <w:t>@ksu.edu.sa</w:t>
            </w:r>
          </w:p>
        </w:tc>
      </w:tr>
    </w:tbl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271602" w:rsidRDefault="00881DCC" w:rsidP="00271602">
      <w:pPr>
        <w:spacing w:after="0" w:line="240" w:lineRule="auto"/>
        <w:jc w:val="lowKashida"/>
        <w:rPr>
          <w:rFonts w:cs="Arabic Transparent"/>
          <w:sz w:val="28"/>
          <w:szCs w:val="28"/>
          <w:rtl/>
        </w:rPr>
      </w:pPr>
      <w:r w:rsidRPr="00AB2EAC">
        <w:rPr>
          <w:rFonts w:cs="Traditional Arabic" w:hint="cs"/>
          <w:b/>
          <w:bCs/>
          <w:sz w:val="28"/>
          <w:szCs w:val="28"/>
          <w:u w:val="single"/>
          <w:rtl/>
        </w:rPr>
        <w:lastRenderedPageBreak/>
        <w:t>وصف المقرر</w:t>
      </w:r>
      <w:r w:rsidRPr="00AB2EAC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:</w:t>
      </w:r>
      <w:r w:rsidR="00271602" w:rsidRPr="00271602">
        <w:rPr>
          <w:rFonts w:cs="Arabic Transparent" w:hint="cs"/>
          <w:sz w:val="28"/>
          <w:szCs w:val="28"/>
          <w:rtl/>
        </w:rPr>
        <w:t xml:space="preserve"> </w:t>
      </w:r>
    </w:p>
    <w:p w:rsidR="00271602" w:rsidRDefault="00271602" w:rsidP="00271602">
      <w:pPr>
        <w:spacing w:after="0" w:line="240" w:lineRule="auto"/>
        <w:jc w:val="lowKashida"/>
        <w:rPr>
          <w:rFonts w:cs="Traditional Arabic"/>
          <w:b/>
          <w:bCs/>
          <w:sz w:val="28"/>
          <w:szCs w:val="28"/>
          <w:rtl/>
        </w:rPr>
      </w:pPr>
      <w:r w:rsidRPr="00101123">
        <w:rPr>
          <w:rFonts w:cs="Arabic Transparent" w:hint="cs"/>
          <w:sz w:val="28"/>
          <w:szCs w:val="28"/>
          <w:rtl/>
        </w:rPr>
        <w:t xml:space="preserve">الأنظمة العددية (الثنائي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الثماني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الستة عشري ) , رموز الحاسب , المنطق الرياضي ( حساب التقارير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أدوات الربط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التكافؤ المنطقي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المصدوقات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التناقض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الحجج ), العلاقات (تعاريف أساسية وأمثلة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علاقة التكافؤ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علاقة الترتيب ) ,  الجبريات البولية وتطبيقاتها (الجبريات البولية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الدالة البولية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أشكال كار نو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لدار ا ت المنطقية ) مدخل إلى نظريات الرسومات (مفاهيم أساسية وأمثلة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الممرات والدورات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الرسوم الجزئية والرسوم المترابطة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الرسوم المنتظمة , الرسوم التامة , الرسوم ثنائية التجزئة </w:t>
      </w:r>
      <w:r w:rsidRPr="00101123">
        <w:rPr>
          <w:rFonts w:cs="Arabic Transparent"/>
          <w:sz w:val="28"/>
          <w:szCs w:val="28"/>
          <w:rtl/>
        </w:rPr>
        <w:t>–</w:t>
      </w:r>
      <w:r w:rsidRPr="00101123">
        <w:rPr>
          <w:rFonts w:cs="Arabic Transparent" w:hint="cs"/>
          <w:sz w:val="28"/>
          <w:szCs w:val="28"/>
          <w:rtl/>
        </w:rPr>
        <w:t xml:space="preserve"> الأشجار ) , المصفوفات (العمليات على المصفوفات</w:t>
      </w:r>
    </w:p>
    <w:p w:rsidR="00271602" w:rsidRPr="00271602" w:rsidRDefault="00271602" w:rsidP="00271602">
      <w:pPr>
        <w:spacing w:after="0" w:line="240" w:lineRule="auto"/>
        <w:jc w:val="lowKashida"/>
        <w:rPr>
          <w:rFonts w:cs="Traditional Arabic"/>
          <w:b/>
          <w:bCs/>
          <w:sz w:val="28"/>
          <w:szCs w:val="28"/>
          <w:rtl/>
        </w:rPr>
      </w:pPr>
    </w:p>
    <w:p w:rsidR="00881DCC" w:rsidRDefault="00881DCC" w:rsidP="00881DCC">
      <w:pPr>
        <w:spacing w:line="360" w:lineRule="auto"/>
        <w:ind w:left="26" w:right="-180"/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AB2EAC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أهداف المقرر</w:t>
      </w:r>
      <w:r w:rsidRPr="00AB2EAC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271602" w:rsidRPr="00101123" w:rsidRDefault="00271602" w:rsidP="00271602">
      <w:pPr>
        <w:ind w:left="360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101123">
        <w:rPr>
          <w:rFonts w:ascii="Times New Roman" w:hAnsi="Times New Roman" w:cs="Traditional Arabic"/>
          <w:b/>
          <w:bCs/>
          <w:sz w:val="28"/>
          <w:szCs w:val="28"/>
          <w:rtl/>
        </w:rPr>
        <w:t>يهدف هذا المقرر إلى:</w:t>
      </w:r>
    </w:p>
    <w:p w:rsidR="00271602" w:rsidRPr="00101123" w:rsidRDefault="00271602" w:rsidP="00271602">
      <w:pPr>
        <w:pStyle w:val="ListParagraph"/>
        <w:numPr>
          <w:ilvl w:val="0"/>
          <w:numId w:val="5"/>
        </w:numPr>
        <w:rPr>
          <w:rFonts w:cs="Arabic Transparent"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 xml:space="preserve"> تمكن الطالبة من التحويل وإجراء العمليات الحسابية بين الأنظمة المختلفة</w:t>
      </w:r>
    </w:p>
    <w:p w:rsidR="00271602" w:rsidRPr="00101123" w:rsidRDefault="00271602" w:rsidP="00271602">
      <w:pPr>
        <w:pStyle w:val="ListParagraph"/>
        <w:numPr>
          <w:ilvl w:val="0"/>
          <w:numId w:val="5"/>
        </w:numPr>
        <w:rPr>
          <w:rFonts w:cs="Arabic Transparent"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 xml:space="preserve">مفهوم المنطق الرياضي </w:t>
      </w:r>
    </w:p>
    <w:p w:rsidR="00271602" w:rsidRPr="00101123" w:rsidRDefault="00271602" w:rsidP="00271602">
      <w:pPr>
        <w:pStyle w:val="ListParagraph"/>
        <w:numPr>
          <w:ilvl w:val="0"/>
          <w:numId w:val="5"/>
        </w:numPr>
        <w:rPr>
          <w:rFonts w:cs="Arabic Transparent"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>تمييز أنواع العلاقات المختلفة</w:t>
      </w:r>
    </w:p>
    <w:p w:rsidR="00271602" w:rsidRPr="00101123" w:rsidRDefault="00271602" w:rsidP="00271602">
      <w:pPr>
        <w:pStyle w:val="ListParagraph"/>
        <w:numPr>
          <w:ilvl w:val="0"/>
          <w:numId w:val="5"/>
        </w:numPr>
        <w:rPr>
          <w:rFonts w:cs="Arabic Transparent"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 xml:space="preserve">استخدام الجبريات البولية وتطبيقاتها  في الحاسب  الآلي </w:t>
      </w:r>
    </w:p>
    <w:p w:rsidR="00271602" w:rsidRPr="00101123" w:rsidRDefault="00271602" w:rsidP="00271602">
      <w:pPr>
        <w:pStyle w:val="ListParagraph"/>
        <w:numPr>
          <w:ilvl w:val="0"/>
          <w:numId w:val="5"/>
        </w:numPr>
        <w:rPr>
          <w:rFonts w:cs="Arabic Transparent"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 xml:space="preserve">قدرة الطالبة على رسم الأنواع المختلفة للرسومات </w:t>
      </w:r>
    </w:p>
    <w:p w:rsidR="00271602" w:rsidRPr="00271602" w:rsidRDefault="00271602" w:rsidP="00271602">
      <w:pPr>
        <w:pStyle w:val="ListParagraph"/>
        <w:numPr>
          <w:ilvl w:val="0"/>
          <w:numId w:val="5"/>
        </w:numPr>
        <w:rPr>
          <w:rFonts w:ascii="Times New Roman" w:hAnsi="Times New Roman" w:cs="Traditional Arabic"/>
          <w:b/>
          <w:bCs/>
          <w:sz w:val="28"/>
          <w:szCs w:val="28"/>
          <w:rtl/>
          <w:lang w:bidi="ar-JO"/>
        </w:rPr>
      </w:pPr>
      <w:r w:rsidRPr="00101123">
        <w:rPr>
          <w:rFonts w:cs="Arabic Transparent" w:hint="cs"/>
          <w:sz w:val="28"/>
          <w:szCs w:val="28"/>
          <w:rtl/>
          <w:lang w:bidi="ar-JO"/>
        </w:rPr>
        <w:t>معرفة حجم المصفوفة والعمليات عليها</w:t>
      </w:r>
    </w:p>
    <w:p w:rsidR="00881DCC" w:rsidRDefault="00881DCC" w:rsidP="00881DCC">
      <w:pPr>
        <w:spacing w:line="360" w:lineRule="auto"/>
        <w:ind w:left="26"/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F1549A">
        <w:rPr>
          <w:rFonts w:ascii="Verdana" w:hAnsi="Verdana" w:cs="Simplified Arabic" w:hint="cs"/>
          <w:b/>
          <w:bCs/>
          <w:color w:val="FF0000"/>
          <w:szCs w:val="27"/>
          <w:u w:val="single"/>
          <w:rtl/>
        </w:rPr>
        <w:t>مكونات المقرر:</w:t>
      </w:r>
      <w:r w:rsidRPr="00F1549A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881DCC" w:rsidRPr="00AB2EAC" w:rsidRDefault="00881DCC" w:rsidP="00881DCC">
      <w:pPr>
        <w:spacing w:line="360" w:lineRule="auto"/>
        <w:ind w:left="26"/>
        <w:jc w:val="lowKashida"/>
        <w:rPr>
          <w:rFonts w:cs="Traditional Arabic"/>
          <w:b/>
          <w:bCs/>
          <w:sz w:val="28"/>
          <w:szCs w:val="28"/>
          <w:u w:val="single"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أولا: المراجع العلمية</w:t>
      </w:r>
    </w:p>
    <w:tbl>
      <w:tblPr>
        <w:tblpPr w:leftFromText="180" w:rightFromText="180" w:vertAnchor="text" w:horzAnchor="page" w:tblpX="39" w:tblpY="-17"/>
        <w:bidiVisual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881C96" w:rsidRPr="0095444B" w:rsidTr="00881C96">
        <w:trPr>
          <w:trHeight w:val="567"/>
        </w:trPr>
        <w:tc>
          <w:tcPr>
            <w:tcW w:w="2130" w:type="dxa"/>
          </w:tcPr>
          <w:p w:rsidR="00881C96" w:rsidRPr="00366E56" w:rsidRDefault="00881C96" w:rsidP="00881C96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مبادئ الرياضيات المتقطعة</w:t>
            </w:r>
          </w:p>
        </w:tc>
        <w:tc>
          <w:tcPr>
            <w:tcW w:w="2130" w:type="dxa"/>
          </w:tcPr>
          <w:p w:rsidR="00881C96" w:rsidRPr="00366E56" w:rsidRDefault="00881C96" w:rsidP="00881C96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د.معروف سمحان    د. احمد شراري</w:t>
            </w:r>
          </w:p>
        </w:tc>
        <w:tc>
          <w:tcPr>
            <w:tcW w:w="2131" w:type="dxa"/>
          </w:tcPr>
          <w:p w:rsidR="00881C96" w:rsidRPr="00366E56" w:rsidRDefault="00881C96" w:rsidP="00881C96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جامعة الملك سعود</w:t>
            </w:r>
          </w:p>
        </w:tc>
        <w:tc>
          <w:tcPr>
            <w:tcW w:w="2131" w:type="dxa"/>
          </w:tcPr>
          <w:p w:rsidR="00881C96" w:rsidRPr="00366E56" w:rsidRDefault="00881C96" w:rsidP="00881C96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1422 هـ - 2002 م</w:t>
            </w:r>
          </w:p>
        </w:tc>
      </w:tr>
    </w:tbl>
    <w:p w:rsidR="00881C96" w:rsidRDefault="00881DCC" w:rsidP="00881C96">
      <w:pPr>
        <w:ind w:left="360"/>
        <w:jc w:val="lowKashida"/>
        <w:rPr>
          <w:rFonts w:ascii="Verdana" w:hAnsi="Verdana" w:cs="Simplified Arabic"/>
          <w:b/>
          <w:bCs/>
          <w:color w:val="FF0000"/>
          <w:szCs w:val="27"/>
          <w:u w:val="single"/>
          <w:rtl/>
        </w:rPr>
      </w:pPr>
      <w:r w:rsidRPr="002866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1 </w:t>
      </w:r>
      <w:r w:rsidRPr="0028660A">
        <w:rPr>
          <w:rFonts w:cs="Traditional Arabic" w:hint="cs"/>
          <w:b/>
          <w:bCs/>
          <w:sz w:val="28"/>
          <w:szCs w:val="28"/>
          <w:rtl/>
        </w:rPr>
        <w:t xml:space="preserve">.  الكتب المقررة: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Pr="00AB2EAC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881DCC" w:rsidRDefault="00881DCC" w:rsidP="00881C96">
      <w:pPr>
        <w:ind w:left="360"/>
        <w:jc w:val="lowKashida"/>
        <w:rPr>
          <w:rFonts w:ascii="Verdana" w:hAnsi="Verdana" w:cs="Simplified Arabic"/>
          <w:b/>
          <w:bCs/>
          <w:color w:val="FF0000"/>
          <w:szCs w:val="27"/>
          <w:u w:val="single"/>
          <w:rtl/>
        </w:rPr>
      </w:pPr>
    </w:p>
    <w:p w:rsidR="00881DCC" w:rsidRPr="00DC2FF5" w:rsidRDefault="00881DCC" w:rsidP="00881DCC">
      <w:pPr>
        <w:ind w:left="360"/>
        <w:jc w:val="lowKashida"/>
        <w:rPr>
          <w:rFonts w:ascii="Verdana" w:hAnsi="Verdana" w:cs="Simplified Arabic"/>
          <w:b/>
          <w:bCs/>
          <w:color w:val="FF0000"/>
          <w:szCs w:val="27"/>
          <w:u w:val="single"/>
          <w:rtl/>
        </w:rPr>
      </w:pPr>
    </w:p>
    <w:p w:rsidR="00881DCC" w:rsidRDefault="00881DCC" w:rsidP="00881DCC">
      <w:pPr>
        <w:ind w:left="945" w:hanging="945"/>
        <w:rPr>
          <w:rFonts w:cs="Traditional Arabic"/>
          <w:b/>
          <w:bCs/>
          <w:sz w:val="28"/>
          <w:szCs w:val="28"/>
          <w:rtl/>
          <w:lang w:bidi="ar-JO"/>
        </w:rPr>
      </w:pPr>
      <w:r w:rsidRPr="003A1DF2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AB2EAC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المراجع المساعدة (باللغة العربية)</w:t>
      </w:r>
      <w:r w:rsidRPr="00AB2EAC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Look w:val="01E0"/>
      </w:tblPr>
      <w:tblGrid>
        <w:gridCol w:w="2745"/>
        <w:gridCol w:w="2978"/>
        <w:gridCol w:w="1993"/>
        <w:gridCol w:w="2131"/>
      </w:tblGrid>
      <w:tr w:rsidR="00881C96" w:rsidRPr="0095444B" w:rsidTr="00881C96">
        <w:trPr>
          <w:trHeight w:val="567"/>
        </w:trPr>
        <w:tc>
          <w:tcPr>
            <w:tcW w:w="2745" w:type="dxa"/>
          </w:tcPr>
          <w:p w:rsidR="00881C96" w:rsidRPr="00366E56" w:rsidRDefault="00881C96" w:rsidP="00881C96">
            <w:pPr>
              <w:pStyle w:val="ListParagraph"/>
              <w:numPr>
                <w:ilvl w:val="0"/>
                <w:numId w:val="6"/>
              </w:num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مبادئ الرياضيات المتقطعة</w:t>
            </w:r>
          </w:p>
        </w:tc>
        <w:tc>
          <w:tcPr>
            <w:tcW w:w="2978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د.معروف سمحان    د. احمد شراري</w:t>
            </w:r>
          </w:p>
        </w:tc>
        <w:tc>
          <w:tcPr>
            <w:tcW w:w="1993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جامعة الملك سعود</w:t>
            </w:r>
          </w:p>
        </w:tc>
        <w:tc>
          <w:tcPr>
            <w:tcW w:w="2131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1422 هـ - 2002 م</w:t>
            </w:r>
          </w:p>
        </w:tc>
      </w:tr>
      <w:tr w:rsidR="00881C96" w:rsidRPr="0095444B" w:rsidTr="00881C96">
        <w:trPr>
          <w:trHeight w:val="567"/>
        </w:trPr>
        <w:tc>
          <w:tcPr>
            <w:tcW w:w="2745" w:type="dxa"/>
          </w:tcPr>
          <w:p w:rsidR="00881C96" w:rsidRPr="00366E56" w:rsidRDefault="00881C96" w:rsidP="00881C96">
            <w:pPr>
              <w:pStyle w:val="ListParagraph"/>
              <w:numPr>
                <w:ilvl w:val="0"/>
                <w:numId w:val="6"/>
              </w:num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 xml:space="preserve">الجبر الخطي </w:t>
            </w:r>
          </w:p>
        </w:tc>
        <w:tc>
          <w:tcPr>
            <w:tcW w:w="2978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د. معروف سمحان  د. علي السحيباني   د. فوزي الذكير</w:t>
            </w:r>
          </w:p>
        </w:tc>
        <w:tc>
          <w:tcPr>
            <w:tcW w:w="1993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العبيكان</w:t>
            </w:r>
          </w:p>
        </w:tc>
        <w:tc>
          <w:tcPr>
            <w:tcW w:w="2131" w:type="dxa"/>
          </w:tcPr>
          <w:p w:rsidR="00881C96" w:rsidRPr="00366E56" w:rsidRDefault="00881C96" w:rsidP="008E2F10">
            <w:pPr>
              <w:rPr>
                <w:rFonts w:cs="Arabic Transparent"/>
                <w:color w:val="002060"/>
                <w:sz w:val="28"/>
                <w:szCs w:val="28"/>
                <w:rtl/>
                <w:lang w:bidi="ar-JO"/>
              </w:rPr>
            </w:pPr>
            <w:r w:rsidRPr="00366E56">
              <w:rPr>
                <w:rFonts w:cs="Arabic Transparent" w:hint="cs"/>
                <w:color w:val="002060"/>
                <w:sz w:val="28"/>
                <w:szCs w:val="28"/>
                <w:rtl/>
                <w:lang w:bidi="ar-JO"/>
              </w:rPr>
              <w:t>1427هـ - 2006 م</w:t>
            </w:r>
          </w:p>
        </w:tc>
      </w:tr>
    </w:tbl>
    <w:p w:rsidR="00881DCC" w:rsidRDefault="00881DCC" w:rsidP="00881DCC">
      <w:pPr>
        <w:spacing w:line="360" w:lineRule="auto"/>
        <w:ind w:left="360" w:right="-180" w:hanging="360"/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</w:p>
    <w:p w:rsidR="000860CB" w:rsidRDefault="000860CB" w:rsidP="00881DCC">
      <w:pPr>
        <w:spacing w:line="360" w:lineRule="auto"/>
        <w:ind w:left="360" w:right="-180" w:hanging="360"/>
        <w:jc w:val="lowKashida"/>
        <w:rPr>
          <w:rFonts w:cs="Traditional Arabic" w:hint="cs"/>
          <w:b/>
          <w:bCs/>
          <w:sz w:val="28"/>
          <w:szCs w:val="28"/>
          <w:u w:val="single"/>
          <w:rtl/>
        </w:rPr>
      </w:pPr>
    </w:p>
    <w:p w:rsidR="00881DCC" w:rsidRDefault="00881DCC" w:rsidP="00881DCC">
      <w:pPr>
        <w:spacing w:line="360" w:lineRule="auto"/>
        <w:ind w:left="360" w:right="-180" w:hanging="360"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lastRenderedPageBreak/>
        <w:t xml:space="preserve">ثانيا: </w:t>
      </w:r>
      <w:r w:rsidRPr="00AB2EAC">
        <w:rPr>
          <w:rFonts w:cs="Traditional Arabic" w:hint="cs"/>
          <w:b/>
          <w:bCs/>
          <w:sz w:val="28"/>
          <w:szCs w:val="28"/>
          <w:u w:val="single"/>
          <w:rtl/>
        </w:rPr>
        <w:t>أساليب تدريس المقرر:</w:t>
      </w:r>
      <w:r w:rsidRPr="00AB2EAC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881DCC" w:rsidRPr="003A1DF2" w:rsidRDefault="00881DCC" w:rsidP="00881DCC">
      <w:pPr>
        <w:pStyle w:val="1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r w:rsidRPr="003A1DF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ar-SA"/>
        </w:rPr>
        <w:t>تقوم أستاذة المادة بشرح النظريات والمفاهيم الأساسية بطريقة المحاضرة بالاستعانة بالعروض التقديمية وإعطاء مثال مشروح لكل فقرة.</w:t>
      </w:r>
    </w:p>
    <w:p w:rsidR="00881DCC" w:rsidRPr="003A1DF2" w:rsidRDefault="00881DCC" w:rsidP="00881DCC">
      <w:pPr>
        <w:pStyle w:val="1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r w:rsidRPr="003A1DF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ar-SA"/>
        </w:rPr>
        <w:t>يتم تخصيص الدقائق الأولى من كل محاضرة لإعطاء عرض سريع لأهم المفاهيم التي تمت مناقشتها في المحاضرة السابقة وإلقاء بعض الأسئلة الشفهية للطالبات.</w:t>
      </w:r>
    </w:p>
    <w:p w:rsidR="00881DCC" w:rsidRPr="003A1DF2" w:rsidRDefault="00881DCC" w:rsidP="00881DCC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r w:rsidRPr="003A1DF2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eastAsia="ar-SA"/>
        </w:rPr>
        <w:t xml:space="preserve">فى ورش العمل ستقوم جميع المجموعات كل على حده بحل ورقة العمل الخاصة بهذه الورشة. </w:t>
      </w:r>
    </w:p>
    <w:p w:rsidR="00881DCC" w:rsidRPr="00F61214" w:rsidRDefault="00881DCC" w:rsidP="00881DCC">
      <w:pPr>
        <w:pStyle w:val="Heading6"/>
        <w:numPr>
          <w:ilvl w:val="0"/>
          <w:numId w:val="0"/>
        </w:numPr>
        <w:ind w:left="360" w:hanging="360"/>
        <w:rPr>
          <w:rFonts w:cs="Traditional Arabic"/>
          <w:sz w:val="28"/>
          <w:szCs w:val="28"/>
          <w:u w:val="single"/>
          <w:rtl/>
        </w:rPr>
      </w:pPr>
      <w:r w:rsidRPr="00F61214">
        <w:rPr>
          <w:rFonts w:cs="Traditional Arabic" w:hint="cs"/>
          <w:sz w:val="28"/>
          <w:szCs w:val="28"/>
          <w:u w:val="single"/>
          <w:rtl/>
        </w:rPr>
        <w:t xml:space="preserve">ثالثا: نتائج التعلم </w:t>
      </w:r>
      <w:r w:rsidRPr="00F61214">
        <w:rPr>
          <w:rFonts w:cs="Traditional Arabic"/>
          <w:sz w:val="28"/>
          <w:szCs w:val="28"/>
          <w:u w:val="single"/>
        </w:rPr>
        <w:t xml:space="preserve">Learning outcomes </w:t>
      </w:r>
    </w:p>
    <w:p w:rsidR="00881DCC" w:rsidRPr="00AB2EAC" w:rsidRDefault="00881DCC" w:rsidP="00881DCC">
      <w:pPr>
        <w:spacing w:line="360" w:lineRule="auto"/>
        <w:ind w:left="360" w:right="-180"/>
        <w:jc w:val="lowKashida"/>
        <w:rPr>
          <w:rFonts w:cs="Traditional Arabic"/>
          <w:b/>
          <w:bCs/>
          <w:sz w:val="28"/>
          <w:szCs w:val="28"/>
          <w:rtl/>
        </w:rPr>
      </w:pPr>
      <w:r w:rsidRPr="00AB2EAC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1.  المعرفة والفهم  </w:t>
      </w:r>
      <w:r w:rsidRPr="00AB2EAC">
        <w:rPr>
          <w:rFonts w:cs="Traditional Arabic"/>
          <w:b/>
          <w:bCs/>
          <w:sz w:val="28"/>
          <w:szCs w:val="28"/>
        </w:rPr>
        <w:t xml:space="preserve">Knowledge and understanding </w:t>
      </w:r>
    </w:p>
    <w:p w:rsidR="00881DCC" w:rsidRPr="0062239B" w:rsidRDefault="00881DCC" w:rsidP="00881DCC">
      <w:pPr>
        <w:spacing w:line="360" w:lineRule="auto"/>
        <w:ind w:left="360" w:right="-180"/>
        <w:jc w:val="lowKashida"/>
        <w:rPr>
          <w:rFonts w:cs="Traditional Arabic"/>
          <w:b/>
          <w:bCs/>
          <w:sz w:val="28"/>
          <w:szCs w:val="28"/>
          <w:rtl/>
        </w:rPr>
      </w:pPr>
      <w:r w:rsidRPr="0062239B">
        <w:rPr>
          <w:rFonts w:cs="Traditional Arabic" w:hint="cs"/>
          <w:b/>
          <w:bCs/>
          <w:sz w:val="28"/>
          <w:szCs w:val="28"/>
          <w:rtl/>
        </w:rPr>
        <w:t xml:space="preserve">أ- فهم الأطار النظري لموضوع المقرر , والتمكن من استخدام الأدوات والتقنيات العلمية التي درسها الطالب في معالجة وحل المشكلات . </w:t>
      </w:r>
    </w:p>
    <w:p w:rsidR="00881DCC" w:rsidRPr="00AB2EAC" w:rsidRDefault="00881DCC" w:rsidP="00881DCC">
      <w:pPr>
        <w:spacing w:line="360" w:lineRule="auto"/>
        <w:ind w:left="360" w:right="-180"/>
        <w:jc w:val="lowKashida"/>
        <w:rPr>
          <w:rFonts w:cs="Traditional Arabic"/>
          <w:sz w:val="28"/>
          <w:szCs w:val="28"/>
          <w:rtl/>
        </w:rPr>
      </w:pPr>
      <w:r w:rsidRPr="0062239B">
        <w:rPr>
          <w:rFonts w:cs="Traditional Arabic" w:hint="cs"/>
          <w:b/>
          <w:bCs/>
          <w:sz w:val="28"/>
          <w:szCs w:val="28"/>
          <w:rtl/>
        </w:rPr>
        <w:t>ب- تمكن الطالب من تطبيق جميع الجوانب التي درسها من المقرر من الواقع الميداني (التطبيقي ) لمجال ال</w:t>
      </w:r>
      <w:r>
        <w:rPr>
          <w:rFonts w:cs="Traditional Arabic" w:hint="cs"/>
          <w:b/>
          <w:bCs/>
          <w:sz w:val="28"/>
          <w:szCs w:val="28"/>
          <w:rtl/>
        </w:rPr>
        <w:t>محاسبة</w:t>
      </w:r>
      <w:r w:rsidRPr="00AB2EAC">
        <w:rPr>
          <w:rFonts w:cs="Traditional Arabic" w:hint="cs"/>
          <w:sz w:val="28"/>
          <w:szCs w:val="28"/>
          <w:rtl/>
        </w:rPr>
        <w:t xml:space="preserve"> . </w:t>
      </w:r>
    </w:p>
    <w:p w:rsidR="00881DCC" w:rsidRPr="00AB2EAC" w:rsidRDefault="00881DCC" w:rsidP="00881DCC">
      <w:pPr>
        <w:spacing w:line="360" w:lineRule="auto"/>
        <w:ind w:left="360" w:right="-180"/>
        <w:jc w:val="lowKashida"/>
        <w:rPr>
          <w:rFonts w:cs="Traditional Arabic"/>
          <w:b/>
          <w:bCs/>
          <w:sz w:val="28"/>
          <w:szCs w:val="28"/>
          <w:rtl/>
        </w:rPr>
      </w:pPr>
      <w:r w:rsidRPr="00AB2EAC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2. مهارات الإدراك ومحاكاة الأفكار  </w:t>
      </w:r>
      <w:r w:rsidRPr="00AB2EAC">
        <w:rPr>
          <w:rFonts w:cs="Traditional Arabic"/>
          <w:b/>
          <w:bCs/>
          <w:sz w:val="28"/>
          <w:szCs w:val="28"/>
        </w:rPr>
        <w:t xml:space="preserve">Cognitive skills  </w:t>
      </w:r>
    </w:p>
    <w:p w:rsidR="00881DCC" w:rsidRPr="00AB2EAC" w:rsidRDefault="00881DCC" w:rsidP="00881DCC">
      <w:pPr>
        <w:spacing w:line="360" w:lineRule="auto"/>
        <w:ind w:left="360" w:right="-180"/>
        <w:jc w:val="lowKashida"/>
        <w:rPr>
          <w:rFonts w:cs="Traditional Arabic"/>
          <w:sz w:val="28"/>
          <w:szCs w:val="28"/>
          <w:rtl/>
        </w:rPr>
      </w:pPr>
      <w:r w:rsidRPr="00AB2EAC">
        <w:rPr>
          <w:rFonts w:cs="Traditional Arabic" w:hint="cs"/>
          <w:sz w:val="28"/>
          <w:szCs w:val="28"/>
          <w:rtl/>
        </w:rPr>
        <w:t xml:space="preserve">- </w:t>
      </w:r>
      <w:r w:rsidRPr="0062239B">
        <w:rPr>
          <w:rFonts w:cs="Traditional Arabic" w:hint="cs"/>
          <w:b/>
          <w:bCs/>
          <w:sz w:val="28"/>
          <w:szCs w:val="28"/>
          <w:rtl/>
        </w:rPr>
        <w:t>من خلال التعلم الذاتي و زيارة المكتبة للإطلاع على الكتب المتعددة المتعلقة بالإحصاء واستخدام الإنترنت لأغراض البحث العلمي</w:t>
      </w:r>
      <w:r>
        <w:rPr>
          <w:rFonts w:cs="Traditional Arabic" w:hint="cs"/>
          <w:sz w:val="28"/>
          <w:szCs w:val="28"/>
          <w:rtl/>
        </w:rPr>
        <w:t xml:space="preserve"> </w:t>
      </w:r>
    </w:p>
    <w:p w:rsidR="00881DCC" w:rsidRPr="00AB2EAC" w:rsidRDefault="00881DCC" w:rsidP="00881DCC">
      <w:pPr>
        <w:spacing w:line="360" w:lineRule="auto"/>
        <w:ind w:left="360" w:right="-180"/>
        <w:jc w:val="lowKashida"/>
        <w:rPr>
          <w:rFonts w:cs="Traditional Arabic"/>
          <w:b/>
          <w:bCs/>
          <w:sz w:val="28"/>
          <w:szCs w:val="28"/>
          <w:rtl/>
          <w:lang w:bidi="ar-JO"/>
        </w:rPr>
      </w:pPr>
      <w:r w:rsidRPr="00AB2EAC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3. مهارات الاتصال والتواصل الأكاديمي (مع المصادر والأشخاص </w:t>
      </w:r>
      <w:r w:rsidRPr="00AB2EAC">
        <w:rPr>
          <w:rFonts w:cs="Traditional Arabic"/>
          <w:b/>
          <w:bCs/>
          <w:sz w:val="28"/>
          <w:szCs w:val="28"/>
          <w:u w:val="single"/>
        </w:rPr>
        <w:t>Communication skills</w:t>
      </w:r>
      <w:r w:rsidRPr="00AB2EAC">
        <w:rPr>
          <w:rFonts w:cs="Traditional Arabic"/>
          <w:b/>
          <w:bCs/>
          <w:sz w:val="28"/>
          <w:szCs w:val="28"/>
        </w:rPr>
        <w:t xml:space="preserve"> </w:t>
      </w:r>
      <w:r w:rsidRPr="00AB2EAC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</w:p>
    <w:p w:rsidR="00881DCC" w:rsidRDefault="00881DCC" w:rsidP="00881DCC">
      <w:pPr>
        <w:spacing w:line="360" w:lineRule="auto"/>
        <w:ind w:left="360" w:right="-180"/>
        <w:jc w:val="lowKashida"/>
        <w:rPr>
          <w:rFonts w:cs="Traditional Arabic"/>
          <w:sz w:val="28"/>
          <w:szCs w:val="28"/>
          <w:rtl/>
        </w:rPr>
      </w:pPr>
      <w:r w:rsidRPr="00AB2EAC">
        <w:rPr>
          <w:rFonts w:cs="Traditional Arabic" w:hint="cs"/>
          <w:sz w:val="28"/>
          <w:szCs w:val="28"/>
          <w:rtl/>
        </w:rPr>
        <w:t xml:space="preserve">- </w:t>
      </w:r>
      <w:r w:rsidRPr="0062239B">
        <w:rPr>
          <w:rFonts w:cs="Traditional Arabic" w:hint="cs"/>
          <w:b/>
          <w:bCs/>
          <w:sz w:val="28"/>
          <w:szCs w:val="28"/>
          <w:rtl/>
        </w:rPr>
        <w:t>تفاعل الطلبة مع مدرس المقرر في المحاضرة وعبر البريد الإلكتروني حيث يوجد موقع إلكتروني لعضو هيئة التدريس  يحتوي على المادة العلمية وجدول ارشادي للمقرر ومواعيد الإمتحانات , كما يتاح للخريج التواصل مع أستاذ المقرر.</w:t>
      </w: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716" w:hanging="690"/>
        <w:jc w:val="both"/>
        <w:rPr>
          <w:rFonts w:cs="Traditional Arabic"/>
          <w:sz w:val="28"/>
          <w:szCs w:val="28"/>
          <w:u w:val="single"/>
          <w:rtl/>
          <w:lang w:bidi="ar-SA"/>
        </w:rPr>
      </w:pPr>
      <w:r>
        <w:rPr>
          <w:rFonts w:cs="Traditional Arabic" w:hint="cs"/>
          <w:sz w:val="28"/>
          <w:szCs w:val="28"/>
          <w:u w:val="single"/>
          <w:rtl/>
        </w:rPr>
        <w:t xml:space="preserve">رابعا: </w:t>
      </w:r>
      <w:r w:rsidRPr="00AB2EAC">
        <w:rPr>
          <w:rFonts w:cs="Traditional Arabic" w:hint="cs"/>
          <w:sz w:val="28"/>
          <w:szCs w:val="28"/>
          <w:u w:val="single"/>
          <w:rtl/>
        </w:rPr>
        <w:t>أدوات التقييــــم:</w:t>
      </w:r>
    </w:p>
    <w:p w:rsidR="00881C96" w:rsidRDefault="00881C96" w:rsidP="00881DCC">
      <w:pPr>
        <w:tabs>
          <w:tab w:val="num" w:pos="716"/>
        </w:tabs>
        <w:spacing w:line="360" w:lineRule="auto"/>
        <w:ind w:left="926" w:right="716" w:hanging="180"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امتحانات قصيرة </w:t>
      </w:r>
    </w:p>
    <w:p w:rsidR="00881C96" w:rsidRDefault="00881C96" w:rsidP="00881DCC">
      <w:pPr>
        <w:tabs>
          <w:tab w:val="num" w:pos="716"/>
        </w:tabs>
        <w:spacing w:line="360" w:lineRule="auto"/>
        <w:ind w:left="926" w:right="716" w:hanging="180"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واجبات </w:t>
      </w:r>
    </w:p>
    <w:p w:rsidR="00881C96" w:rsidRPr="0062239B" w:rsidRDefault="00881C96" w:rsidP="00881DCC">
      <w:pPr>
        <w:tabs>
          <w:tab w:val="num" w:pos="716"/>
        </w:tabs>
        <w:spacing w:line="360" w:lineRule="auto"/>
        <w:ind w:left="926" w:right="716" w:hanging="180"/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المد الأول والثاني والنهائي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2142"/>
      </w:tblGrid>
      <w:tr w:rsidR="00881DCC" w:rsidRPr="00A230BD" w:rsidTr="008E2F10">
        <w:trPr>
          <w:jc w:val="center"/>
        </w:trPr>
        <w:tc>
          <w:tcPr>
            <w:tcW w:w="6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881DCC" w:rsidRPr="00A230BD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توزيع العلامات على أدوات التقييم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1DCC" w:rsidRPr="00A230BD" w:rsidRDefault="00881DCC" w:rsidP="008E2F10">
            <w:pPr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أدوات التقييم</w:t>
            </w: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81DCC" w:rsidRPr="00A230BD" w:rsidRDefault="00881DCC" w:rsidP="008E2F10">
            <w:pPr>
              <w:pStyle w:val="Heading6"/>
              <w:numPr>
                <w:ilvl w:val="0"/>
                <w:numId w:val="0"/>
              </w:numPr>
              <w:ind w:right="0" w:firstLine="26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sz w:val="28"/>
                <w:szCs w:val="28"/>
                <w:rtl/>
              </w:rPr>
              <w:t>الدرجة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الامتحان الأول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1DCC" w:rsidRPr="00A230BD" w:rsidRDefault="00881C96" w:rsidP="008E2F10">
            <w:pPr>
              <w:spacing w:line="360" w:lineRule="auto"/>
              <w:ind w:right="71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881DCC"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1DCC" w:rsidRPr="00A230BD" w:rsidRDefault="00881C96" w:rsidP="008E2F10">
            <w:pPr>
              <w:spacing w:line="360" w:lineRule="auto"/>
              <w:ind w:right="71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881DCC"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الامتحان النهائي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0%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التقارير و/أو الأبحاث / الواجبات / المشاريع / الامتحانات القصيرة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1DCC" w:rsidRPr="00A230BD" w:rsidRDefault="00881C96" w:rsidP="008E2F10">
            <w:pPr>
              <w:spacing w:line="360" w:lineRule="auto"/>
              <w:ind w:right="71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</w:t>
            </w:r>
            <w:r w:rsidR="00881DCC"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881DCC" w:rsidRPr="00A230BD" w:rsidTr="008E2F10">
        <w:trPr>
          <w:jc w:val="center"/>
        </w:trPr>
        <w:tc>
          <w:tcPr>
            <w:tcW w:w="4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DCC" w:rsidRPr="00A230BD" w:rsidRDefault="00881DCC" w:rsidP="008E2F10">
            <w:pPr>
              <w:spacing w:line="360" w:lineRule="auto"/>
              <w:ind w:right="71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A230BD">
              <w:rPr>
                <w:rFonts w:cs="Traditional Arabic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881DCC" w:rsidRDefault="00881DCC" w:rsidP="00FF6F5A">
      <w:pPr>
        <w:pStyle w:val="Heading6"/>
        <w:numPr>
          <w:ilvl w:val="0"/>
          <w:numId w:val="0"/>
        </w:numPr>
        <w:ind w:right="2546"/>
        <w:jc w:val="both"/>
        <w:rPr>
          <w:rtl/>
        </w:rPr>
      </w:pP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26" w:right="2546"/>
        <w:jc w:val="both"/>
        <w:rPr>
          <w:rFonts w:cs="Traditional Arabic"/>
          <w:sz w:val="28"/>
          <w:szCs w:val="28"/>
          <w:u w:val="single"/>
          <w:rtl/>
        </w:rPr>
      </w:pPr>
      <w:r>
        <w:rPr>
          <w:rFonts w:hint="cs"/>
          <w:rtl/>
        </w:rPr>
        <w:t xml:space="preserve">خامسا: </w:t>
      </w:r>
      <w:r w:rsidRPr="00AB2EAC">
        <w:rPr>
          <w:rFonts w:hint="cs"/>
          <w:rtl/>
        </w:rPr>
        <w:t>توزيع المقرر على الفصل الدراسي</w:t>
      </w:r>
    </w:p>
    <w:tbl>
      <w:tblPr>
        <w:bidiVisual/>
        <w:tblW w:w="0" w:type="auto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915"/>
        <w:gridCol w:w="2120"/>
      </w:tblGrid>
      <w:tr w:rsidR="00881DCC" w:rsidRPr="00AB2EAC" w:rsidTr="008E2F10">
        <w:trPr>
          <w:trHeight w:val="145"/>
          <w:jc w:val="center"/>
        </w:trPr>
        <w:tc>
          <w:tcPr>
            <w:tcW w:w="2269" w:type="dxa"/>
            <w:shd w:val="clear" w:color="auto" w:fill="CCCCCC"/>
            <w:vAlign w:val="center"/>
          </w:tcPr>
          <w:p w:rsidR="00881DCC" w:rsidRPr="00AB2EAC" w:rsidRDefault="00881DCC" w:rsidP="008E2F1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81DCC" w:rsidRPr="00AB2EAC" w:rsidRDefault="00881DCC" w:rsidP="008E2F10">
            <w:pPr>
              <w:pStyle w:val="Heading7"/>
              <w:rPr>
                <w:rFonts w:cs="Traditional Arabic"/>
                <w:sz w:val="28"/>
                <w:szCs w:val="28"/>
              </w:rPr>
            </w:pPr>
            <w:r w:rsidRPr="00AB2EAC">
              <w:rPr>
                <w:rFonts w:cs="Traditional Arabic" w:hint="cs"/>
                <w:sz w:val="28"/>
                <w:szCs w:val="28"/>
                <w:rtl/>
              </w:rPr>
              <w:t>الأسبــــــــوع</w:t>
            </w:r>
          </w:p>
        </w:tc>
        <w:tc>
          <w:tcPr>
            <w:tcW w:w="4915" w:type="dxa"/>
            <w:shd w:val="clear" w:color="auto" w:fill="CCCCCC"/>
            <w:vAlign w:val="center"/>
          </w:tcPr>
          <w:p w:rsidR="00881DCC" w:rsidRPr="00AB2EAC" w:rsidRDefault="00881DCC" w:rsidP="008E2F1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المادة الأساسية والمساندة المطلوب تغطيتها</w:t>
            </w:r>
          </w:p>
        </w:tc>
        <w:tc>
          <w:tcPr>
            <w:tcW w:w="2120" w:type="dxa"/>
            <w:shd w:val="clear" w:color="auto" w:fill="CCCCCC"/>
            <w:vAlign w:val="center"/>
          </w:tcPr>
          <w:p w:rsidR="00881DCC" w:rsidRPr="00AB2EAC" w:rsidRDefault="00881DCC" w:rsidP="008E2F1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الوظائف والتقارير ومواعيد تقديمها</w:t>
            </w:r>
          </w:p>
        </w:tc>
      </w:tr>
      <w:tr w:rsidR="00881DCC" w:rsidRPr="00AB2EAC" w:rsidTr="008E2F10">
        <w:trPr>
          <w:cantSplit/>
          <w:trHeight w:val="114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881DCC" w:rsidRPr="005C2E5E" w:rsidRDefault="00881C96" w:rsidP="008E2F10">
            <w:pPr>
              <w:numPr>
                <w:ilvl w:val="2"/>
                <w:numId w:val="0"/>
              </w:numPr>
              <w:tabs>
                <w:tab w:val="left" w:pos="686"/>
                <w:tab w:val="num" w:pos="781"/>
                <w:tab w:val="num" w:pos="1045"/>
                <w:tab w:val="right" w:pos="8784"/>
              </w:tabs>
              <w:ind w:left="1206" w:hanging="425"/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5C2E5E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مقدمة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261A57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915" w:type="dxa"/>
            <w:vAlign w:val="center"/>
          </w:tcPr>
          <w:p w:rsidR="00881DCC" w:rsidRPr="005C2E5E" w:rsidRDefault="00881C96" w:rsidP="00366E56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5C2E5E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الأنظمة العددية</w:t>
            </w:r>
          </w:p>
          <w:p w:rsidR="00881C96" w:rsidRPr="005C2E5E" w:rsidRDefault="00881C96" w:rsidP="00366E56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5C2E5E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النظام الثنائي</w:t>
            </w:r>
          </w:p>
          <w:p w:rsidR="00881C96" w:rsidRPr="005C2E5E" w:rsidRDefault="00881C96" w:rsidP="00366E56">
            <w:pPr>
              <w:pStyle w:val="ListParagraph"/>
              <w:numPr>
                <w:ilvl w:val="0"/>
                <w:numId w:val="8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5C2E5E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التحويل </w:t>
            </w:r>
            <w:r w:rsidR="00261A57" w:rsidRPr="005C2E5E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من ثنائي إ</w:t>
            </w:r>
            <w:r w:rsidRPr="005C2E5E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لى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8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الكسور الثنائية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8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عشري إلى ثنائي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8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تحويل الكسور العشرية إلى كسور ثنائية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8"/>
              </w:numPr>
              <w:tabs>
                <w:tab w:val="left" w:pos="686"/>
                <w:tab w:val="num" w:pos="1045"/>
                <w:tab w:val="num" w:pos="29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العمليات الحسابية في النظام الثنائي</w:t>
            </w:r>
          </w:p>
        </w:tc>
        <w:tc>
          <w:tcPr>
            <w:tcW w:w="2120" w:type="dxa"/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261A57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915" w:type="dxa"/>
          </w:tcPr>
          <w:p w:rsidR="00881DCC" w:rsidRPr="001D6651" w:rsidRDefault="00261A57" w:rsidP="00366E56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الأنظمة العددية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النظام الثماني 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0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ثماني إلى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0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عشري إلى ثماني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0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 xml:space="preserve">التحويل من ثنائي إلى ثماني 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0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ثماني إلى ثنائي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0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العمليات الحسابية في النظام الثماني</w:t>
            </w:r>
          </w:p>
        </w:tc>
        <w:tc>
          <w:tcPr>
            <w:tcW w:w="2120" w:type="dxa"/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واجب منزلي</w:t>
            </w:r>
            <w:r w:rsidR="001D665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1D6651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الرابع</w:t>
            </w:r>
          </w:p>
        </w:tc>
        <w:tc>
          <w:tcPr>
            <w:tcW w:w="4915" w:type="dxa"/>
          </w:tcPr>
          <w:p w:rsidR="00881DCC" w:rsidRPr="001D6651" w:rsidRDefault="00261A57" w:rsidP="00366E56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 xml:space="preserve">الأنظمة العددية 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النظام الستة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1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ستة عشري إلى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1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عشري إلى ستة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1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ثنائي إلى ستة عشري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1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التحويل من ستة عشري إلى ثنائي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11"/>
              </w:numPr>
              <w:tabs>
                <w:tab w:val="left" w:pos="686"/>
                <w:tab w:val="num" w:pos="1440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العمليات الحسابية في النظام الستة عشري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الكويز 1</w:t>
            </w:r>
          </w:p>
        </w:tc>
      </w:tr>
      <w:tr w:rsidR="00881DCC" w:rsidRPr="00AB2EAC" w:rsidTr="008E2F10">
        <w:trPr>
          <w:trHeight w:val="790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915" w:type="dxa"/>
          </w:tcPr>
          <w:p w:rsidR="00261A57" w:rsidRPr="001D6651" w:rsidRDefault="00261A57" w:rsidP="00366E56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رموز الحسب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المنطق الرياضي</w:t>
            </w:r>
          </w:p>
          <w:p w:rsidR="00881DCC" w:rsidRPr="001D6651" w:rsidRDefault="001D6651" w:rsidP="00366E56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 w:hint="cs"/>
                <w:b/>
                <w:bCs/>
                <w:color w:val="002060"/>
                <w:shd w:val="clear" w:color="auto" w:fill="F9F9F9"/>
                <w:rtl/>
              </w:rPr>
              <w:t xml:space="preserve">  </w:t>
            </w:r>
            <w:r w:rsidR="00261A57"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 xml:space="preserve">حساب التقارير </w:t>
            </w:r>
          </w:p>
          <w:p w:rsidR="00261A57" w:rsidRPr="001D6651" w:rsidRDefault="00261A57" w:rsidP="00366E56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أدوات الربط</w:t>
            </w:r>
          </w:p>
        </w:tc>
        <w:tc>
          <w:tcPr>
            <w:tcW w:w="2120" w:type="dxa"/>
            <w:vAlign w:val="center"/>
          </w:tcPr>
          <w:p w:rsidR="00881DCC" w:rsidRPr="00AB2EAC" w:rsidRDefault="001D6651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واجب منزلي 2</w:t>
            </w: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4915" w:type="dxa"/>
          </w:tcPr>
          <w:p w:rsidR="00881DCC" w:rsidRPr="001D6651" w:rsidRDefault="00261A57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المنطق الرياضي</w:t>
            </w:r>
          </w:p>
          <w:p w:rsidR="00261A57" w:rsidRPr="001D6651" w:rsidRDefault="00261A57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التكافؤ المنطقي</w:t>
            </w:r>
          </w:p>
          <w:p w:rsidR="00261A57" w:rsidRPr="001D6651" w:rsidRDefault="00261A57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المصدوقات والتناقض</w:t>
            </w:r>
          </w:p>
          <w:p w:rsidR="00261A57" w:rsidRPr="001D6651" w:rsidRDefault="00261A57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الحجج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الكويز 2</w:t>
            </w: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4915" w:type="dxa"/>
          </w:tcPr>
          <w:p w:rsidR="00881DCC" w:rsidRPr="001D6651" w:rsidRDefault="005C2E5E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العلاقات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تعاريف أساسية وأمثلة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علاقة التكافؤ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 الأول</w:t>
            </w:r>
          </w:p>
        </w:tc>
      </w:tr>
      <w:tr w:rsidR="00881DCC" w:rsidRPr="00AB2EAC" w:rsidTr="008E2F10">
        <w:trPr>
          <w:trHeight w:val="145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4915" w:type="dxa"/>
          </w:tcPr>
          <w:p w:rsidR="00881DCC" w:rsidRPr="001D6651" w:rsidRDefault="005C2E5E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العلاقات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تابع علاقة التكافؤ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علاقة الترتيب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الواجب 3</w:t>
            </w:r>
          </w:p>
        </w:tc>
      </w:tr>
      <w:tr w:rsidR="00881DCC" w:rsidRPr="00AB2EAC" w:rsidTr="008E2F10">
        <w:trPr>
          <w:trHeight w:val="682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4915" w:type="dxa"/>
          </w:tcPr>
          <w:p w:rsidR="00881DCC" w:rsidRPr="005C2E5E" w:rsidRDefault="005C2E5E" w:rsidP="008E2F10">
            <w:pPr>
              <w:tabs>
                <w:tab w:val="left" w:pos="686"/>
                <w:tab w:val="right" w:pos="8784"/>
              </w:tabs>
              <w:ind w:right="716"/>
              <w:jc w:val="center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5C2E5E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إجازة</w:t>
            </w:r>
          </w:p>
        </w:tc>
        <w:tc>
          <w:tcPr>
            <w:tcW w:w="2120" w:type="dxa"/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881DCC" w:rsidRPr="00AB2EAC" w:rsidTr="008E2F10">
        <w:trPr>
          <w:trHeight w:val="855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4915" w:type="dxa"/>
          </w:tcPr>
          <w:p w:rsidR="00881DCC" w:rsidRPr="001D6651" w:rsidRDefault="005C2E5E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الجبريات البولية وتطبيقاتها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الجبريات البولية</w:t>
            </w:r>
          </w:p>
          <w:p w:rsidR="00881DCC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الدوال البولية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الكويز 3</w:t>
            </w:r>
          </w:p>
        </w:tc>
      </w:tr>
      <w:tr w:rsidR="00881DCC" w:rsidRPr="00AB2EAC" w:rsidTr="008E2F10">
        <w:trPr>
          <w:trHeight w:val="676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4915" w:type="dxa"/>
          </w:tcPr>
          <w:p w:rsidR="00881DCC" w:rsidRPr="001D6651" w:rsidRDefault="005C2E5E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الجبريات البولية وتطبيقاتها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ind w:right="716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أشكال كارنو</w:t>
            </w:r>
          </w:p>
        </w:tc>
        <w:tc>
          <w:tcPr>
            <w:tcW w:w="2120" w:type="dxa"/>
            <w:vAlign w:val="center"/>
          </w:tcPr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واجب منزلي</w:t>
            </w:r>
            <w:r w:rsidR="00366E5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</w:tr>
      <w:tr w:rsidR="00881DCC" w:rsidRPr="00AB2EAC" w:rsidTr="008E2F10">
        <w:trPr>
          <w:trHeight w:val="700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="00881DCC"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4915" w:type="dxa"/>
            <w:vAlign w:val="center"/>
          </w:tcPr>
          <w:p w:rsidR="00881DCC" w:rsidRPr="001D6651" w:rsidRDefault="005C2E5E" w:rsidP="001D6651">
            <w:pPr>
              <w:pStyle w:val="ListParagraph"/>
              <w:numPr>
                <w:ilvl w:val="0"/>
                <w:numId w:val="4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الجبريات البولية وتطبيقاتها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tabs>
                <w:tab w:val="left" w:pos="686"/>
                <w:tab w:val="right" w:pos="8784"/>
              </w:tabs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rtl/>
              </w:rPr>
              <w:t>الدارات المنطقية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الكويز 4</w:t>
            </w:r>
          </w:p>
        </w:tc>
      </w:tr>
      <w:tr w:rsidR="00881DCC" w:rsidRPr="00AB2EAC" w:rsidTr="008E2F10">
        <w:trPr>
          <w:trHeight w:val="695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="00881DCC"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Align w:val="center"/>
          </w:tcPr>
          <w:p w:rsidR="005C2E5E" w:rsidRPr="001D6651" w:rsidRDefault="005C2E5E" w:rsidP="001D665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مدخل إلى نظرية الرسومات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مفاهيم أساسية وأمثلة</w:t>
            </w:r>
          </w:p>
          <w:p w:rsidR="00881DCC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 xml:space="preserve">الممرات والدورات 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واجب منزلي 5</w:t>
            </w:r>
          </w:p>
        </w:tc>
      </w:tr>
      <w:tr w:rsidR="00881DCC" w:rsidRPr="00AB2EAC" w:rsidTr="008E2F10">
        <w:trPr>
          <w:trHeight w:val="927"/>
          <w:jc w:val="center"/>
        </w:trPr>
        <w:tc>
          <w:tcPr>
            <w:tcW w:w="2269" w:type="dxa"/>
            <w:vAlign w:val="center"/>
          </w:tcPr>
          <w:p w:rsidR="00881DCC" w:rsidRPr="00AB2EAC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الرابع</w:t>
            </w:r>
            <w:r w:rsidR="00881DCC" w:rsidRPr="00AB2EA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  <w:p w:rsidR="00881DCC" w:rsidRPr="00AB2EAC" w:rsidRDefault="00881DCC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Align w:val="center"/>
          </w:tcPr>
          <w:p w:rsidR="005C2E5E" w:rsidRPr="001D6651" w:rsidRDefault="005C2E5E" w:rsidP="001D665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مدخل إلى نظرية الرسومات</w:t>
            </w:r>
          </w:p>
          <w:p w:rsidR="00881DCC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الرسوم الجزئية والرسوم المترابطة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jc w:val="center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الرسوم المنتظمة , الرسوم التامة , الرسوم ثنائية التجزئية</w:t>
            </w:r>
          </w:p>
        </w:tc>
        <w:tc>
          <w:tcPr>
            <w:tcW w:w="2120" w:type="dxa"/>
            <w:vAlign w:val="center"/>
          </w:tcPr>
          <w:p w:rsidR="00881DCC" w:rsidRPr="00AB2EAC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 الثاني</w:t>
            </w:r>
          </w:p>
        </w:tc>
      </w:tr>
      <w:tr w:rsidR="005C2E5E" w:rsidRPr="00AB2EAC" w:rsidTr="008E2F10">
        <w:trPr>
          <w:trHeight w:val="927"/>
          <w:jc w:val="center"/>
        </w:trPr>
        <w:tc>
          <w:tcPr>
            <w:tcW w:w="2269" w:type="dxa"/>
            <w:vAlign w:val="center"/>
          </w:tcPr>
          <w:p w:rsidR="005C2E5E" w:rsidRDefault="005C2E5E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4915" w:type="dxa"/>
            <w:vAlign w:val="center"/>
          </w:tcPr>
          <w:p w:rsidR="005C2E5E" w:rsidRPr="005C2E5E" w:rsidRDefault="001D6651" w:rsidP="001D6651">
            <w:p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hd w:val="clear" w:color="auto" w:fill="F9F9F9"/>
                <w:rtl/>
              </w:rPr>
              <w:t>_</w:t>
            </w:r>
            <w:r w:rsidR="005C2E5E" w:rsidRPr="005C2E5E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مدخل إلى نظرية الرسومات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الأشجار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lastRenderedPageBreak/>
              <w:t xml:space="preserve">المصفوفات </w:t>
            </w:r>
          </w:p>
          <w:p w:rsidR="005C2E5E" w:rsidRPr="001D6651" w:rsidRDefault="005C2E5E" w:rsidP="001D6651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180"/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</w:pPr>
            <w:r w:rsidRPr="001D6651">
              <w:rPr>
                <w:rFonts w:asciiTheme="majorBidi" w:hAnsiTheme="majorBidi" w:cstheme="majorBidi"/>
                <w:b/>
                <w:bCs/>
                <w:color w:val="002060"/>
                <w:shd w:val="clear" w:color="auto" w:fill="F9F9F9"/>
                <w:rtl/>
              </w:rPr>
              <w:t>العمليات على المصفوفات</w:t>
            </w:r>
          </w:p>
        </w:tc>
        <w:tc>
          <w:tcPr>
            <w:tcW w:w="2120" w:type="dxa"/>
            <w:vAlign w:val="center"/>
          </w:tcPr>
          <w:p w:rsidR="005C2E5E" w:rsidRDefault="00366E56" w:rsidP="008E2F10">
            <w:pPr>
              <w:spacing w:line="360" w:lineRule="auto"/>
              <w:ind w:right="-18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الكويز 5</w:t>
            </w:r>
          </w:p>
        </w:tc>
      </w:tr>
    </w:tbl>
    <w:p w:rsidR="00881DCC" w:rsidRPr="00AB2EAC" w:rsidRDefault="00881DCC" w:rsidP="00881DCC">
      <w:pPr>
        <w:spacing w:line="360" w:lineRule="auto"/>
        <w:ind w:left="716"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right="-180"/>
        <w:jc w:val="lowKashida"/>
        <w:rPr>
          <w:rFonts w:cs="Traditional Arabic"/>
          <w:sz w:val="28"/>
          <w:szCs w:val="28"/>
        </w:rPr>
      </w:pP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26" w:right="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* </w:t>
      </w:r>
      <w:r w:rsidRPr="00AB2EAC">
        <w:rPr>
          <w:rFonts w:cs="Traditional Arabic" w:hint="cs"/>
          <w:sz w:val="28"/>
          <w:szCs w:val="28"/>
          <w:rtl/>
        </w:rPr>
        <w:t>حجم العمل الملقى على عاتق الطالب: ما لا يقل عن ساعتين مقابل كل ساعة تدريس</w:t>
      </w:r>
    </w:p>
    <w:p w:rsidR="00881DCC" w:rsidRPr="00AB2EAC" w:rsidRDefault="00881DCC" w:rsidP="00881DCC">
      <w:pPr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يعطى للطالب مع نهاية كل فصل واجب أو ورقة عمل شاملة لأغلب الأفكار والمواضيع المتعلقه بهذا الباب.</w:t>
      </w:r>
    </w:p>
    <w:p w:rsidR="00881DCC" w:rsidRPr="00AB2EAC" w:rsidRDefault="00881DCC" w:rsidP="00881DCC">
      <w:pPr>
        <w:pStyle w:val="Heading6"/>
        <w:numPr>
          <w:ilvl w:val="0"/>
          <w:numId w:val="0"/>
        </w:numPr>
        <w:ind w:left="26" w:right="2546"/>
        <w:rPr>
          <w:rFonts w:cs="Traditional Arabic"/>
          <w:sz w:val="28"/>
          <w:szCs w:val="28"/>
          <w:u w:val="single"/>
          <w:rtl/>
        </w:rPr>
      </w:pPr>
      <w:r w:rsidRPr="00AB2EAC">
        <w:rPr>
          <w:rFonts w:cs="Traditional Arabic" w:hint="cs"/>
          <w:sz w:val="28"/>
          <w:szCs w:val="28"/>
          <w:u w:val="single"/>
          <w:rtl/>
        </w:rPr>
        <w:t>سياسة الحضور والغياب:</w:t>
      </w:r>
    </w:p>
    <w:p w:rsidR="00881DCC" w:rsidRPr="00AB2EAC" w:rsidRDefault="00881DCC" w:rsidP="00881DCC">
      <w:pPr>
        <w:ind w:left="360"/>
        <w:jc w:val="lowKashida"/>
        <w:rPr>
          <w:rFonts w:cs="Traditional Arabic"/>
          <w:sz w:val="28"/>
          <w:szCs w:val="28"/>
          <w:rtl/>
          <w:lang w:bidi="ar-JO"/>
        </w:rPr>
      </w:pPr>
      <w:r w:rsidRPr="00AB2EAC">
        <w:rPr>
          <w:rFonts w:cs="Traditional Arabic" w:hint="cs"/>
          <w:sz w:val="28"/>
          <w:szCs w:val="28"/>
          <w:rtl/>
          <w:lang w:bidi="ar-JO"/>
        </w:rPr>
        <w:t xml:space="preserve">لا يسمح للطالب بالتغيب أكثر من </w:t>
      </w:r>
      <w:r>
        <w:rPr>
          <w:rFonts w:cs="Traditional Arabic" w:hint="cs"/>
          <w:sz w:val="28"/>
          <w:szCs w:val="28"/>
          <w:rtl/>
          <w:lang w:bidi="ar-JO"/>
        </w:rPr>
        <w:t>2</w:t>
      </w:r>
      <w:r w:rsidRPr="00AB2EAC">
        <w:rPr>
          <w:rFonts w:cs="Traditional Arabic" w:hint="cs"/>
          <w:sz w:val="28"/>
          <w:szCs w:val="28"/>
          <w:rtl/>
          <w:lang w:bidi="ar-JO"/>
        </w:rPr>
        <w:t>5% من الساعات المقررة للمقرر بدون عذر مرضي أو قهري يقبله عميد الكلية إذ يترتب اعتبار الطالب منسحباً من المقرر في حالة قبول العميد للعذر، بينما يمنع من التقدم للامتحا</w:t>
      </w:r>
      <w:r>
        <w:rPr>
          <w:rFonts w:cs="Traditional Arabic" w:hint="cs"/>
          <w:sz w:val="28"/>
          <w:szCs w:val="28"/>
          <w:rtl/>
          <w:lang w:bidi="ar-JO"/>
        </w:rPr>
        <w:t>ن النهائي وتكون علامته في المقرر</w:t>
      </w:r>
      <w:r w:rsidRPr="00AB2EAC">
        <w:rPr>
          <w:rFonts w:cs="Traditional Arabic" w:hint="cs"/>
          <w:sz w:val="28"/>
          <w:szCs w:val="28"/>
          <w:rtl/>
          <w:lang w:bidi="ar-JO"/>
        </w:rPr>
        <w:t xml:space="preserve"> صفراً في حالة عدم قبول العميد للعذر المرضي أو القهري.</w:t>
      </w:r>
    </w:p>
    <w:p w:rsidR="00881DCC" w:rsidRPr="00AB2EAC" w:rsidRDefault="00881DCC" w:rsidP="00881DCC">
      <w:pPr>
        <w:spacing w:line="360" w:lineRule="auto"/>
        <w:ind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tabs>
          <w:tab w:val="num" w:pos="1106"/>
        </w:tabs>
        <w:spacing w:line="360" w:lineRule="auto"/>
        <w:ind w:right="-180" w:hanging="126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tabs>
          <w:tab w:val="num" w:pos="1106"/>
        </w:tabs>
        <w:spacing w:line="360" w:lineRule="auto"/>
        <w:ind w:right="-180" w:hanging="1260"/>
        <w:jc w:val="lowKashida"/>
        <w:rPr>
          <w:rFonts w:cs="Traditional Arabic"/>
          <w:sz w:val="28"/>
          <w:szCs w:val="28"/>
          <w:rtl/>
        </w:rPr>
      </w:pPr>
    </w:p>
    <w:p w:rsidR="00881DCC" w:rsidRPr="00AB2EAC" w:rsidRDefault="00881DCC" w:rsidP="00881DCC">
      <w:pPr>
        <w:spacing w:line="360" w:lineRule="auto"/>
        <w:ind w:left="26" w:right="-180"/>
        <w:jc w:val="lowKashida"/>
        <w:rPr>
          <w:rFonts w:cs="Traditional Arabic"/>
          <w:sz w:val="28"/>
          <w:szCs w:val="28"/>
          <w:rtl/>
        </w:rPr>
      </w:pPr>
    </w:p>
    <w:sectPr w:rsidR="00881DCC" w:rsidRPr="00AB2EAC" w:rsidSect="00E73752">
      <w:footerReference w:type="even" r:id="rId7"/>
      <w:footerReference w:type="default" r:id="rId8"/>
      <w:pgSz w:w="11906" w:h="16838"/>
      <w:pgMar w:top="540" w:right="1286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07" w:rsidRDefault="00082707" w:rsidP="00526356">
      <w:pPr>
        <w:spacing w:after="0" w:line="240" w:lineRule="auto"/>
      </w:pPr>
      <w:r>
        <w:separator/>
      </w:r>
    </w:p>
  </w:endnote>
  <w:endnote w:type="continuationSeparator" w:id="1">
    <w:p w:rsidR="00082707" w:rsidRDefault="00082707" w:rsidP="0052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A" w:rsidRDefault="0084450D" w:rsidP="004527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0D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8660A" w:rsidRDefault="00082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A" w:rsidRDefault="0084450D" w:rsidP="004527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0DA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60C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8660A" w:rsidRDefault="0008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07" w:rsidRDefault="00082707" w:rsidP="00526356">
      <w:pPr>
        <w:spacing w:after="0" w:line="240" w:lineRule="auto"/>
      </w:pPr>
      <w:r>
        <w:separator/>
      </w:r>
    </w:p>
  </w:footnote>
  <w:footnote w:type="continuationSeparator" w:id="1">
    <w:p w:rsidR="00082707" w:rsidRDefault="00082707" w:rsidP="0052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D1"/>
    <w:multiLevelType w:val="hybridMultilevel"/>
    <w:tmpl w:val="200A7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D71"/>
    <w:multiLevelType w:val="hybridMultilevel"/>
    <w:tmpl w:val="19B20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A38"/>
    <w:multiLevelType w:val="hybridMultilevel"/>
    <w:tmpl w:val="9AF2E188"/>
    <w:lvl w:ilvl="0" w:tplc="040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3">
    <w:nsid w:val="0AEA759B"/>
    <w:multiLevelType w:val="hybridMultilevel"/>
    <w:tmpl w:val="BB0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0C5"/>
    <w:multiLevelType w:val="hybridMultilevel"/>
    <w:tmpl w:val="37B0D058"/>
    <w:lvl w:ilvl="0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8F3559"/>
    <w:multiLevelType w:val="hybridMultilevel"/>
    <w:tmpl w:val="58287B28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13A54B4A"/>
    <w:multiLevelType w:val="hybridMultilevel"/>
    <w:tmpl w:val="282ECAEC"/>
    <w:lvl w:ilvl="0" w:tplc="10866056">
      <w:start w:val="9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47316"/>
    <w:multiLevelType w:val="hybridMultilevel"/>
    <w:tmpl w:val="AD923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6CF"/>
    <w:multiLevelType w:val="hybridMultilevel"/>
    <w:tmpl w:val="3E941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37C2"/>
    <w:multiLevelType w:val="hybridMultilevel"/>
    <w:tmpl w:val="3E6ABFE0"/>
    <w:lvl w:ilvl="0" w:tplc="9E6E7DAE">
      <w:start w:val="2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A3A7119"/>
    <w:multiLevelType w:val="hybridMultilevel"/>
    <w:tmpl w:val="AEEC051A"/>
    <w:lvl w:ilvl="0" w:tplc="0F1ABE30"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6316264"/>
    <w:multiLevelType w:val="hybridMultilevel"/>
    <w:tmpl w:val="BE60F3AE"/>
    <w:lvl w:ilvl="0" w:tplc="10866056">
      <w:start w:val="9"/>
      <w:numFmt w:val="bullet"/>
      <w:lvlText w:val="-"/>
      <w:lvlJc w:val="left"/>
      <w:pPr>
        <w:ind w:left="2005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2">
    <w:nsid w:val="60927EAF"/>
    <w:multiLevelType w:val="hybridMultilevel"/>
    <w:tmpl w:val="81CC18C4"/>
    <w:lvl w:ilvl="0" w:tplc="8398D532">
      <w:start w:val="2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7A17"/>
    <w:multiLevelType w:val="hybridMultilevel"/>
    <w:tmpl w:val="87E0180A"/>
    <w:lvl w:ilvl="0" w:tplc="040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4">
    <w:nsid w:val="6C095CAF"/>
    <w:multiLevelType w:val="hybridMultilevel"/>
    <w:tmpl w:val="CB228610"/>
    <w:lvl w:ilvl="0" w:tplc="10866056">
      <w:start w:val="9"/>
      <w:numFmt w:val="bullet"/>
      <w:lvlText w:val="-"/>
      <w:lvlJc w:val="left"/>
      <w:pPr>
        <w:ind w:left="1221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74B502E1"/>
    <w:multiLevelType w:val="hybridMultilevel"/>
    <w:tmpl w:val="7C18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A4B3F"/>
    <w:multiLevelType w:val="hybridMultilevel"/>
    <w:tmpl w:val="CCEAC184"/>
    <w:lvl w:ilvl="0" w:tplc="C5A87B90">
      <w:start w:val="6"/>
      <w:numFmt w:val="bullet"/>
      <w:pStyle w:val="Heading6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CC"/>
    <w:rsid w:val="00082707"/>
    <w:rsid w:val="000860CB"/>
    <w:rsid w:val="0016076F"/>
    <w:rsid w:val="001D6651"/>
    <w:rsid w:val="00261A57"/>
    <w:rsid w:val="00271602"/>
    <w:rsid w:val="00366E56"/>
    <w:rsid w:val="00370551"/>
    <w:rsid w:val="004B5E0E"/>
    <w:rsid w:val="00526356"/>
    <w:rsid w:val="005C2E5E"/>
    <w:rsid w:val="006F5248"/>
    <w:rsid w:val="0081504B"/>
    <w:rsid w:val="0084450D"/>
    <w:rsid w:val="00881C96"/>
    <w:rsid w:val="00881DCC"/>
    <w:rsid w:val="00955E3F"/>
    <w:rsid w:val="00A0412C"/>
    <w:rsid w:val="00AF5D5F"/>
    <w:rsid w:val="00B00DA4"/>
    <w:rsid w:val="00CC5FD1"/>
    <w:rsid w:val="00E40C2B"/>
    <w:rsid w:val="00E953C8"/>
    <w:rsid w:val="00EF76D5"/>
    <w:rsid w:val="00FF385C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5"/>
    <w:pPr>
      <w:bidi/>
    </w:pPr>
  </w:style>
  <w:style w:type="paragraph" w:styleId="Heading5">
    <w:name w:val="heading 5"/>
    <w:basedOn w:val="Normal"/>
    <w:next w:val="Normal"/>
    <w:link w:val="Heading5Char"/>
    <w:qFormat/>
    <w:rsid w:val="00881DCC"/>
    <w:pPr>
      <w:keepNext/>
      <w:spacing w:after="0" w:line="360" w:lineRule="auto"/>
      <w:ind w:left="26" w:right="-18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JO"/>
    </w:rPr>
  </w:style>
  <w:style w:type="paragraph" w:styleId="Heading6">
    <w:name w:val="heading 6"/>
    <w:basedOn w:val="Normal"/>
    <w:next w:val="Normal"/>
    <w:link w:val="Heading6Char"/>
    <w:qFormat/>
    <w:rsid w:val="00881DCC"/>
    <w:pPr>
      <w:keepNext/>
      <w:numPr>
        <w:numId w:val="1"/>
      </w:numPr>
      <w:tabs>
        <w:tab w:val="clear" w:pos="720"/>
        <w:tab w:val="num" w:pos="716"/>
      </w:tabs>
      <w:spacing w:after="0" w:line="360" w:lineRule="auto"/>
      <w:ind w:left="716" w:right="716" w:hanging="690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paragraph" w:styleId="Heading7">
    <w:name w:val="heading 7"/>
    <w:basedOn w:val="Normal"/>
    <w:next w:val="Normal"/>
    <w:link w:val="Heading7Char"/>
    <w:qFormat/>
    <w:rsid w:val="00881D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1DCC"/>
    <w:rPr>
      <w:rFonts w:ascii="Times New Roman" w:eastAsia="Times New Roman" w:hAnsi="Times New Roman" w:cs="Times New Roman"/>
      <w:b/>
      <w:bCs/>
      <w:sz w:val="28"/>
      <w:szCs w:val="28"/>
      <w:u w:val="single"/>
      <w:lang w:eastAsia="ar-SA" w:bidi="ar-JO"/>
    </w:rPr>
  </w:style>
  <w:style w:type="character" w:customStyle="1" w:styleId="Heading6Char">
    <w:name w:val="Heading 6 Char"/>
    <w:basedOn w:val="DefaultParagraphFont"/>
    <w:link w:val="Heading6"/>
    <w:rsid w:val="00881DCC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Heading7Char">
    <w:name w:val="Heading 7 Char"/>
    <w:basedOn w:val="DefaultParagraphFont"/>
    <w:link w:val="Heading7"/>
    <w:rsid w:val="00881DCC"/>
    <w:rPr>
      <w:rFonts w:ascii="Times New Roman" w:eastAsia="Times New Roman" w:hAnsi="Times New Roman" w:cs="Times New Roman"/>
      <w:b/>
      <w:bCs/>
      <w:lang w:eastAsia="ar-SA"/>
    </w:rPr>
  </w:style>
  <w:style w:type="paragraph" w:styleId="Footer">
    <w:name w:val="footer"/>
    <w:basedOn w:val="Normal"/>
    <w:link w:val="FooterChar"/>
    <w:rsid w:val="00881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881D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881DCC"/>
  </w:style>
  <w:style w:type="paragraph" w:customStyle="1" w:styleId="1">
    <w:name w:val="سرد الفقرات1"/>
    <w:basedOn w:val="Normal"/>
    <w:uiPriority w:val="34"/>
    <w:qFormat/>
    <w:rsid w:val="00881DCC"/>
    <w:pPr>
      <w:ind w:left="720"/>
      <w:contextualSpacing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7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LaLa</cp:lastModifiedBy>
  <cp:revision>5</cp:revision>
  <dcterms:created xsi:type="dcterms:W3CDTF">2012-05-05T20:27:00Z</dcterms:created>
  <dcterms:modified xsi:type="dcterms:W3CDTF">2013-01-06T07:01:00Z</dcterms:modified>
</cp:coreProperties>
</file>