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37" w:rsidRDefault="00564637" w:rsidP="00564637">
      <w:pPr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Default="00564637" w:rsidP="00564637">
      <w:pPr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Default="00564637" w:rsidP="00564637">
      <w:pPr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Default="00564637" w:rsidP="00564637">
      <w:pPr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Default="00564637" w:rsidP="00564637">
      <w:pPr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Pr="00A57258" w:rsidRDefault="00564637" w:rsidP="0056463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/>
          <w:b/>
          <w:bCs/>
          <w:sz w:val="28"/>
          <w:szCs w:val="28"/>
          <w:rtl/>
        </w:rPr>
        <w:t>الكلية:</w:t>
      </w: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علوم الأغذية والزراعة</w:t>
      </w:r>
    </w:p>
    <w:p w:rsidR="00564637" w:rsidRPr="00A57258" w:rsidRDefault="00564637" w:rsidP="0056463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/>
          <w:b/>
          <w:bCs/>
          <w:sz w:val="28"/>
          <w:szCs w:val="28"/>
          <w:rtl/>
        </w:rPr>
        <w:t>القسم:</w:t>
      </w: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علوم الأغذية والتغذية</w:t>
      </w:r>
    </w:p>
    <w:p w:rsidR="00564637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/>
          <w:b/>
          <w:bCs/>
          <w:sz w:val="28"/>
          <w:szCs w:val="28"/>
          <w:rtl/>
        </w:rPr>
        <w:t>التخصص:</w:t>
      </w: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تغذية إنسان</w:t>
      </w:r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564637" w:rsidRDefault="00564637" w:rsidP="0056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عنوان البحث: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 xml:space="preserve"> العلاقة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بين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التعدد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الشكلي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لمستقبلات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فيتامين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د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ومستوى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فيتامين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د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في الإناث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السعوديات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المصابات</w:t>
      </w:r>
      <w:r w:rsidRPr="00A57258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A57258">
        <w:rPr>
          <w:rFonts w:ascii="Times New Roman,Bold" w:cs="Times New Roman,Bold" w:hint="cs"/>
          <w:b/>
          <w:bCs/>
          <w:sz w:val="28"/>
          <w:szCs w:val="28"/>
          <w:rtl/>
        </w:rPr>
        <w:t>بالبدانة</w:t>
      </w:r>
    </w:p>
    <w:p w:rsidR="00564637" w:rsidRDefault="00564637" w:rsidP="0056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Pr="00A57258" w:rsidRDefault="00564637" w:rsidP="0056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الدرجة العلمية: الدكتوراه</w:t>
      </w:r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اسم الطالبة: سحر </w:t>
      </w:r>
      <w:proofErr w:type="spellStart"/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عبدالعزيز</w:t>
      </w:r>
      <w:proofErr w:type="spellEnd"/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السديري</w:t>
      </w:r>
      <w:proofErr w:type="spellEnd"/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اسم المشرف: د/علي الشتوي</w:t>
      </w:r>
    </w:p>
    <w:p w:rsidR="00564637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المناقشة: 23/6/1438هـ</w:t>
      </w:r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564637" w:rsidRPr="00A57258" w:rsidRDefault="00564637" w:rsidP="0056463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7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الكلمات الدلالية للبحث: 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البدانة, فيتامين د, </w:t>
      </w:r>
      <w:proofErr w:type="spellStart"/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>اناث</w:t>
      </w:r>
      <w:proofErr w:type="spellEnd"/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سعوديات, </w:t>
      </w:r>
      <w:proofErr w:type="spellStart"/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>TaqI</w:t>
      </w:r>
      <w:proofErr w:type="spellEnd"/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>BsmI</w:t>
      </w:r>
      <w:proofErr w:type="spellEnd"/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Apa1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>DHCR7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>GC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CYP27B1 </w:t>
      </w:r>
      <w:r w:rsidRPr="00A572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A57258">
        <w:rPr>
          <w:rFonts w:asciiTheme="majorBidi" w:eastAsia="Times New Roman" w:hAnsiTheme="majorBidi" w:cstheme="majorBidi"/>
          <w:b/>
          <w:bCs/>
          <w:sz w:val="24"/>
          <w:szCs w:val="24"/>
        </w:rPr>
        <w:t>CYP24A1</w:t>
      </w: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4637" w:rsidRDefault="00564637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D394F" w:rsidRPr="00472F29" w:rsidRDefault="004D394F" w:rsidP="004D394F">
      <w:pPr>
        <w:tabs>
          <w:tab w:val="left" w:pos="479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b/>
          <w:bCs/>
          <w:sz w:val="24"/>
          <w:szCs w:val="24"/>
          <w:rtl/>
        </w:rPr>
        <w:t>الخلاصة</w:t>
      </w:r>
      <w:r w:rsidRPr="00472F29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4D394F" w:rsidRPr="00472F29" w:rsidRDefault="004D394F" w:rsidP="004D394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sz w:val="24"/>
          <w:szCs w:val="24"/>
          <w:rtl/>
        </w:rPr>
        <w:t>هدفت هذه الدراسة لتحليل التعدد الشكلي للجينات المرتبطة بالبدانة (</w:t>
      </w:r>
      <w:proofErr w:type="spellStart"/>
      <w:r w:rsidRPr="00472F29">
        <w:rPr>
          <w:rFonts w:asciiTheme="majorBidi" w:eastAsia="Times New Roman" w:hAnsiTheme="majorBidi" w:cstheme="majorBidi"/>
          <w:sz w:val="24"/>
          <w:szCs w:val="24"/>
        </w:rPr>
        <w:t>TaqI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proofErr w:type="spellStart"/>
      <w:r w:rsidRPr="00472F29">
        <w:rPr>
          <w:rFonts w:asciiTheme="majorBidi" w:eastAsia="Times New Roman" w:hAnsiTheme="majorBidi" w:cstheme="majorBidi"/>
          <w:sz w:val="24"/>
          <w:szCs w:val="24"/>
        </w:rPr>
        <w:t>BsmI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Apa1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DHCR7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GC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CYP27B1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CYP24A1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) وعوامل خطر البدانة, بما في ذلك القياسات الجسمية, واختبارات الدم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الكيموحيوية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في 201 من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 سكان الرياض بالمملكة العربية السعودية.</w:t>
      </w:r>
    </w:p>
    <w:p w:rsidR="004D394F" w:rsidRPr="00472F29" w:rsidRDefault="004D394F" w:rsidP="004D394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تم قياس مستويات الجلوكوز </w:t>
      </w:r>
      <w:r w:rsidRPr="00472F29">
        <w:rPr>
          <w:rFonts w:asciiTheme="majorBidi" w:hAnsiTheme="majorBidi" w:cstheme="majorBidi"/>
          <w:sz w:val="24"/>
          <w:szCs w:val="24"/>
        </w:rPr>
        <w:t>(G)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والدهون (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الكلي </w:t>
      </w:r>
      <w:r w:rsidRPr="00472F29">
        <w:rPr>
          <w:rFonts w:asciiTheme="majorBidi" w:hAnsiTheme="majorBidi" w:cstheme="majorBidi"/>
          <w:sz w:val="24"/>
          <w:szCs w:val="24"/>
        </w:rPr>
        <w:t>[TC]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والدهون الثلاثية </w:t>
      </w:r>
      <w:r w:rsidRPr="00472F29">
        <w:rPr>
          <w:rFonts w:asciiTheme="majorBidi" w:hAnsiTheme="majorBidi" w:cstheme="majorBidi"/>
          <w:sz w:val="24"/>
          <w:szCs w:val="24"/>
        </w:rPr>
        <w:t>[TG])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وكوليسترول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البروتينات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الدهنية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منخفضة الكثافة </w:t>
      </w:r>
      <w:r w:rsidRPr="00472F29">
        <w:rPr>
          <w:rFonts w:asciiTheme="majorBidi" w:hAnsiTheme="majorBidi" w:cstheme="majorBidi"/>
          <w:sz w:val="24"/>
          <w:szCs w:val="24"/>
        </w:rPr>
        <w:t>[LDL-C]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وكوليسترول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البروتينات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الدهنية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عالية الكثافة </w:t>
      </w:r>
      <w:r w:rsidRPr="00472F29">
        <w:rPr>
          <w:rFonts w:asciiTheme="majorBidi" w:hAnsiTheme="majorBidi" w:cstheme="majorBidi"/>
          <w:sz w:val="24"/>
          <w:szCs w:val="24"/>
        </w:rPr>
        <w:t>[HDL-C]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) باستخدام تحاليل المختبر الروتينية, وفيتامين د (</w:t>
      </w:r>
      <w:r w:rsidRPr="00472F29">
        <w:rPr>
          <w:rFonts w:asciiTheme="majorBidi" w:hAnsiTheme="majorBidi" w:cstheme="majorBidi"/>
          <w:sz w:val="24"/>
          <w:szCs w:val="24"/>
        </w:rPr>
        <w:t>VD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), وهرمون الغدة الدرقية (</w:t>
      </w:r>
      <w:r w:rsidRPr="00472F29">
        <w:rPr>
          <w:rFonts w:asciiTheme="majorBidi" w:hAnsiTheme="majorBidi" w:cstheme="majorBidi"/>
          <w:sz w:val="24"/>
          <w:szCs w:val="24"/>
        </w:rPr>
        <w:t>PTH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) باستخدام جهاز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كوباس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72F29">
        <w:rPr>
          <w:rFonts w:asciiTheme="majorBidi" w:hAnsiTheme="majorBidi" w:cstheme="majorBidi"/>
          <w:sz w:val="24"/>
          <w:szCs w:val="24"/>
        </w:rPr>
        <w:t>e 602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لتحديد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اذا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كانت الجينات تترافق مع خطر البدانة.  كما تم تحليل البيانات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احصائيا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ببرنامج </w:t>
      </w:r>
      <w:r w:rsidRPr="00472F29">
        <w:rPr>
          <w:rFonts w:asciiTheme="majorBidi" w:hAnsiTheme="majorBidi" w:cstheme="majorBidi"/>
          <w:sz w:val="24"/>
          <w:szCs w:val="24"/>
        </w:rPr>
        <w:t>SPSS 22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4D394F" w:rsidRPr="00472F29" w:rsidRDefault="004D394F" w:rsidP="004D394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كانت مستويات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الكلي, والدهون الثلاثية,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وكوليسترول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البروتينات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الدهنية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منخفضة الكثافة, والجلوكوز, وهرمون الغدة الدرقية في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البدينات أعلى معنويا, بينما مستويات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البروتينات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الدهنية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عالية الكثافة, وفيتامين د اقل معنويا مقارنة بالمجموعة الضابطة. ولم تظهر النتائج علاقة بين الجينات المدروسة, والتسبب بالبدانة. كانت مستويات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الكلي, والدهون الثلاثية,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وكوليسترول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البروتينات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الدهنية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منخفضة الكثافة في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اللاتي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يعانيين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 نقص فيتامين د أقل معنويا مقارنة بالمجموعة الضابطة. وأشارت النتائج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الى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ارتباط </w:t>
      </w:r>
      <w:r w:rsidRPr="00472F29">
        <w:rPr>
          <w:rFonts w:asciiTheme="majorBidi" w:hAnsiTheme="majorBidi" w:cstheme="majorBidi"/>
          <w:sz w:val="24"/>
          <w:szCs w:val="24"/>
        </w:rPr>
        <w:t>GC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472F29">
        <w:rPr>
          <w:rFonts w:asciiTheme="majorBidi" w:hAnsiTheme="majorBidi" w:cstheme="majorBidi"/>
          <w:sz w:val="24"/>
          <w:szCs w:val="24"/>
        </w:rPr>
        <w:t>rs4588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hAnsiTheme="majorBidi" w:cstheme="majorBidi"/>
          <w:sz w:val="24"/>
          <w:szCs w:val="24"/>
        </w:rPr>
        <w:t>rs7041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),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CYP24A1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DHCR7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72F29">
        <w:rPr>
          <w:rFonts w:asciiTheme="majorBidi" w:hAnsiTheme="majorBidi" w:cstheme="majorBidi"/>
          <w:sz w:val="24"/>
          <w:szCs w:val="24"/>
        </w:rPr>
        <w:t>rs12785878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معنويا بخطر نقص فيتامين د. وجدنا أن الوزن, ومؤشر كتلة الجسم, وهرمون الغدة الدرقية في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البدينات اللاتي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يعانيين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من نقص فيتامين د مرتفعة معنويا, بينما مستويات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الكوليسترول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الكلي, والدهون الثلاثية, وفيتامين د منخفضة معنويا مقارنة بالمجموعة الضابطة. وأظهرت النتائج أن </w:t>
      </w:r>
      <w:r w:rsidRPr="00472F29">
        <w:rPr>
          <w:rFonts w:asciiTheme="majorBidi" w:hAnsiTheme="majorBidi" w:cstheme="majorBidi"/>
          <w:sz w:val="24"/>
          <w:szCs w:val="24"/>
        </w:rPr>
        <w:t>GC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72F29">
        <w:rPr>
          <w:rFonts w:asciiTheme="majorBidi" w:hAnsiTheme="majorBidi" w:cstheme="majorBidi"/>
          <w:sz w:val="24"/>
          <w:szCs w:val="24"/>
        </w:rPr>
        <w:t>rs4588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CYP24A1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لهما دلالة معنوية بنقص فيتامين د في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البدينات.</w:t>
      </w:r>
    </w:p>
    <w:p w:rsidR="004D394F" w:rsidRPr="00472F29" w:rsidRDefault="004D394F" w:rsidP="004D394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في الختام, تشير دراستنا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الى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ان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التعدد الشكلي لجينات </w:t>
      </w:r>
      <w:r w:rsidRPr="00472F29">
        <w:rPr>
          <w:rFonts w:asciiTheme="majorBidi" w:hAnsiTheme="majorBidi" w:cstheme="majorBidi"/>
          <w:sz w:val="24"/>
          <w:szCs w:val="24"/>
        </w:rPr>
        <w:t>GC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 و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CYP24A1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ترتبط مع نقص فيتامين د في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البدينات. هذه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الاشكال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قد تصبح علامة مفيدة للتنبؤ بالتطور المستقبلي لنقص فيتامين د لدى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الاناث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البدينات.</w:t>
      </w:r>
    </w:p>
    <w:p w:rsidR="004D394F" w:rsidRPr="00472F29" w:rsidRDefault="004D394F" w:rsidP="004D394F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كلمات </w:t>
      </w:r>
      <w:proofErr w:type="spellStart"/>
      <w:r w:rsidRPr="00472F29">
        <w:rPr>
          <w:rFonts w:asciiTheme="majorBidi" w:hAnsiTheme="majorBidi" w:cstheme="majorBidi" w:hint="cs"/>
          <w:b/>
          <w:bCs/>
          <w:sz w:val="24"/>
          <w:szCs w:val="24"/>
          <w:rtl/>
        </w:rPr>
        <w:t>مفتاحية</w:t>
      </w:r>
      <w:proofErr w:type="spellEnd"/>
    </w:p>
    <w:p w:rsidR="004D394F" w:rsidRPr="00472F29" w:rsidRDefault="004D394F" w:rsidP="004D394F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البدانة, فيتامين د, </w:t>
      </w:r>
      <w:proofErr w:type="spellStart"/>
      <w:r w:rsidRPr="00472F29">
        <w:rPr>
          <w:rFonts w:asciiTheme="majorBidi" w:hAnsiTheme="majorBidi" w:cstheme="majorBidi" w:hint="cs"/>
          <w:sz w:val="24"/>
          <w:szCs w:val="24"/>
          <w:rtl/>
        </w:rPr>
        <w:t>اناث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 سعوديات, </w:t>
      </w:r>
      <w:proofErr w:type="spellStart"/>
      <w:r w:rsidRPr="00472F29">
        <w:rPr>
          <w:rFonts w:asciiTheme="majorBidi" w:eastAsia="Times New Roman" w:hAnsiTheme="majorBidi" w:cstheme="majorBidi"/>
          <w:sz w:val="24"/>
          <w:szCs w:val="24"/>
        </w:rPr>
        <w:t>TaqI</w:t>
      </w:r>
      <w:proofErr w:type="spellEnd"/>
      <w:r w:rsidRPr="00472F29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72F29">
        <w:rPr>
          <w:rFonts w:asciiTheme="majorBidi" w:eastAsia="Times New Roman" w:hAnsiTheme="majorBidi" w:cstheme="majorBidi"/>
          <w:sz w:val="24"/>
          <w:szCs w:val="24"/>
        </w:rPr>
        <w:t>BsmI</w:t>
      </w:r>
      <w:proofErr w:type="spellEnd"/>
      <w:r w:rsidRPr="00472F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 xml:space="preserve"> Apa1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DHCR7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GC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 xml:space="preserve"> CYP27B1 </w:t>
      </w:r>
      <w:r w:rsidRPr="00472F2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72F29">
        <w:rPr>
          <w:rFonts w:asciiTheme="majorBidi" w:eastAsia="Times New Roman" w:hAnsiTheme="majorBidi" w:cstheme="majorBidi"/>
          <w:sz w:val="24"/>
          <w:szCs w:val="24"/>
        </w:rPr>
        <w:t>CYP24A1</w:t>
      </w:r>
    </w:p>
    <w:p w:rsidR="004D394F" w:rsidRPr="00472F29" w:rsidRDefault="004D394F" w:rsidP="004D394F">
      <w:pPr>
        <w:bidi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98C" w:rsidRPr="004D394F" w:rsidRDefault="00ED398C"/>
    <w:sectPr w:rsidR="00ED398C" w:rsidRPr="004D394F" w:rsidSect="00D164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394F"/>
    <w:rsid w:val="003731A7"/>
    <w:rsid w:val="004D394F"/>
    <w:rsid w:val="00564637"/>
    <w:rsid w:val="007E7632"/>
    <w:rsid w:val="00D16489"/>
    <w:rsid w:val="00E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2017-05-09T10:08:00Z</dcterms:created>
  <dcterms:modified xsi:type="dcterms:W3CDTF">2017-05-10T11:35:00Z</dcterms:modified>
</cp:coreProperties>
</file>