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15" w:rsidRPr="006F121B" w:rsidRDefault="00375E15" w:rsidP="00375E15">
      <w:pPr>
        <w:pStyle w:val="Heading2"/>
        <w:bidi/>
        <w:spacing w:line="360" w:lineRule="auto"/>
        <w:rPr>
          <w:rFonts w:cs="Times New Roman"/>
          <w:b/>
          <w:bCs/>
          <w:sz w:val="48"/>
          <w:szCs w:val="48"/>
          <w:rtl/>
        </w:rPr>
      </w:pPr>
      <w:r>
        <w:rPr>
          <w:rFonts w:cs="Times New Roman" w:hint="cs"/>
          <w:sz w:val="40"/>
          <w:szCs w:val="40"/>
          <w:rtl/>
        </w:rPr>
        <w:t xml:space="preserve">                        </w:t>
      </w:r>
      <w:r w:rsidRPr="006F121B">
        <w:rPr>
          <w:rFonts w:cs="Times New Roman" w:hint="cs"/>
          <w:b/>
          <w:bCs/>
          <w:sz w:val="48"/>
          <w:szCs w:val="48"/>
          <w:rtl/>
        </w:rPr>
        <w:t>وصف مقرر التعريب</w:t>
      </w:r>
    </w:p>
    <w:p w:rsidR="00375E15" w:rsidRDefault="00375E15" w:rsidP="00375E15">
      <w:pPr>
        <w:pStyle w:val="Heading2"/>
        <w:bidi/>
        <w:spacing w:line="360" w:lineRule="auto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ينقسم مقرر التعريب إلى عدة </w:t>
      </w:r>
      <w:proofErr w:type="spellStart"/>
      <w:r>
        <w:rPr>
          <w:rFonts w:cs="Times New Roman" w:hint="cs"/>
          <w:b/>
          <w:bCs/>
          <w:sz w:val="28"/>
          <w:szCs w:val="28"/>
          <w:rtl/>
        </w:rPr>
        <w:t>اقسام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بدءًا بكيفية نمو اللغة العربية عبر السنين عن طريق ترجمة الثقافات والعلوم القديمة حتى اتساع رقعة الدولة </w:t>
      </w:r>
      <w:proofErr w:type="spellStart"/>
      <w:r>
        <w:rPr>
          <w:rFonts w:cs="Times New Roman" w:hint="cs"/>
          <w:b/>
          <w:bCs/>
          <w:sz w:val="28"/>
          <w:szCs w:val="28"/>
          <w:rtl/>
        </w:rPr>
        <w:t>الاسلامية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والتطور الذي </w:t>
      </w:r>
      <w:proofErr w:type="spellStart"/>
      <w:r>
        <w:rPr>
          <w:rFonts w:cs="Times New Roman" w:hint="cs"/>
          <w:b/>
          <w:bCs/>
          <w:sz w:val="28"/>
          <w:szCs w:val="28"/>
          <w:rtl/>
        </w:rPr>
        <w:t>شهدته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في كافة مجالات العلوم.</w:t>
      </w:r>
    </w:p>
    <w:p w:rsidR="00375E15" w:rsidRDefault="00375E15" w:rsidP="00375E15">
      <w:pPr>
        <w:jc w:val="left"/>
        <w:rPr>
          <w:b/>
          <w:bCs/>
          <w:u w:val="single"/>
          <w:rtl/>
        </w:rPr>
      </w:pPr>
    </w:p>
    <w:p w:rsidR="00375E15" w:rsidRPr="00157490" w:rsidRDefault="00375E15" w:rsidP="00375E15">
      <w:pPr>
        <w:spacing w:before="120" w:after="120" w:line="288" w:lineRule="auto"/>
        <w:jc w:val="lowKashida"/>
        <w:rPr>
          <w:rFonts w:cs="Traditional Arabic" w:hint="cs"/>
          <w:b/>
          <w:bCs/>
          <w:sz w:val="28"/>
          <w:szCs w:val="28"/>
          <w:rtl/>
        </w:rPr>
      </w:pPr>
      <w:r w:rsidRPr="00157490">
        <w:rPr>
          <w:rFonts w:cs="Traditional Arabic" w:hint="cs"/>
          <w:b/>
          <w:bCs/>
          <w:sz w:val="28"/>
          <w:szCs w:val="28"/>
          <w:rtl/>
        </w:rPr>
        <w:t xml:space="preserve">المبحث الأول: جزيرة العربي قبل الإسلام: ص </w:t>
      </w:r>
      <w:r w:rsidRPr="00157490">
        <w:rPr>
          <w:rFonts w:cs="Traditional Arabic"/>
          <w:b/>
          <w:bCs/>
          <w:sz w:val="28"/>
          <w:szCs w:val="28"/>
        </w:rPr>
        <w:t>10-24</w:t>
      </w:r>
    </w:p>
    <w:p w:rsidR="00375E15" w:rsidRPr="00157490" w:rsidRDefault="00375E15" w:rsidP="00375E15">
      <w:pPr>
        <w:numPr>
          <w:ilvl w:val="0"/>
          <w:numId w:val="1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اللغة العربية واللغات المجاورة.</w:t>
      </w:r>
    </w:p>
    <w:p w:rsidR="00375E15" w:rsidRPr="00157490" w:rsidRDefault="00375E15" w:rsidP="00375E15">
      <w:pPr>
        <w:numPr>
          <w:ilvl w:val="0"/>
          <w:numId w:val="1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العرب واليونان.</w:t>
      </w:r>
    </w:p>
    <w:p w:rsidR="00375E15" w:rsidRPr="00157490" w:rsidRDefault="00375E15" w:rsidP="00375E15">
      <w:pPr>
        <w:numPr>
          <w:ilvl w:val="0"/>
          <w:numId w:val="1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العرب والآراميون.</w:t>
      </w:r>
    </w:p>
    <w:p w:rsidR="00375E15" w:rsidRPr="00157490" w:rsidRDefault="00375E15" w:rsidP="00375E15">
      <w:pPr>
        <w:numPr>
          <w:ilvl w:val="0"/>
          <w:numId w:val="1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العرب والحبشة.</w:t>
      </w:r>
    </w:p>
    <w:p w:rsidR="00375E15" w:rsidRPr="00157490" w:rsidRDefault="00375E15" w:rsidP="00375E15">
      <w:pPr>
        <w:numPr>
          <w:ilvl w:val="0"/>
          <w:numId w:val="1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العرب والفرس.</w:t>
      </w:r>
    </w:p>
    <w:p w:rsidR="00375E15" w:rsidRPr="00157490" w:rsidRDefault="00375E15" w:rsidP="00375E15">
      <w:pPr>
        <w:spacing w:before="120" w:after="120" w:line="288" w:lineRule="auto"/>
        <w:jc w:val="lowKashida"/>
        <w:rPr>
          <w:rFonts w:cs="Traditional Arabic"/>
          <w:b/>
          <w:bCs/>
          <w:sz w:val="28"/>
          <w:szCs w:val="28"/>
        </w:rPr>
      </w:pPr>
      <w:r w:rsidRPr="00157490">
        <w:rPr>
          <w:rFonts w:cs="Traditional Arabic" w:hint="cs"/>
          <w:b/>
          <w:bCs/>
          <w:sz w:val="28"/>
          <w:szCs w:val="28"/>
          <w:rtl/>
        </w:rPr>
        <w:t xml:space="preserve">المبحث الثاني: تعريف التعريب: ص </w:t>
      </w:r>
      <w:r w:rsidRPr="00157490">
        <w:rPr>
          <w:rFonts w:cs="Traditional Arabic"/>
          <w:b/>
          <w:bCs/>
          <w:sz w:val="28"/>
          <w:szCs w:val="28"/>
        </w:rPr>
        <w:t>47</w:t>
      </w:r>
    </w:p>
    <w:p w:rsidR="00375E15" w:rsidRPr="00157490" w:rsidRDefault="00375E15" w:rsidP="00375E15">
      <w:pPr>
        <w:numPr>
          <w:ilvl w:val="0"/>
          <w:numId w:val="2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 xml:space="preserve">معايير الحكم بأعجمية اللفظ. </w:t>
      </w:r>
      <w:r w:rsidRPr="00157490">
        <w:rPr>
          <w:rFonts w:cs="Traditional Arabic" w:hint="cs"/>
          <w:b/>
          <w:bCs/>
          <w:sz w:val="28"/>
          <w:szCs w:val="28"/>
          <w:rtl/>
        </w:rPr>
        <w:t xml:space="preserve">ص </w:t>
      </w:r>
      <w:r w:rsidRPr="00157490">
        <w:rPr>
          <w:rFonts w:cs="Traditional Arabic"/>
          <w:b/>
          <w:bCs/>
          <w:sz w:val="28"/>
          <w:szCs w:val="28"/>
        </w:rPr>
        <w:t>48-64</w:t>
      </w:r>
    </w:p>
    <w:p w:rsidR="00375E15" w:rsidRPr="00157490" w:rsidRDefault="00375E15" w:rsidP="00375E15">
      <w:pPr>
        <w:numPr>
          <w:ilvl w:val="0"/>
          <w:numId w:val="2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 xml:space="preserve">مذاهب العرب في استعمال الألفاظ الأعجمية. </w:t>
      </w:r>
      <w:r w:rsidRPr="00157490">
        <w:rPr>
          <w:rFonts w:cs="Traditional Arabic" w:hint="cs"/>
          <w:b/>
          <w:bCs/>
          <w:sz w:val="28"/>
          <w:szCs w:val="28"/>
          <w:rtl/>
        </w:rPr>
        <w:t>ص 64-68 &amp; 284-285</w:t>
      </w:r>
    </w:p>
    <w:p w:rsidR="00375E15" w:rsidRPr="00157490" w:rsidRDefault="00375E15" w:rsidP="00375E15">
      <w:pPr>
        <w:numPr>
          <w:ilvl w:val="0"/>
          <w:numId w:val="2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 xml:space="preserve">المعربات والمشتركات اللفظية. </w:t>
      </w:r>
      <w:r w:rsidRPr="00157490">
        <w:rPr>
          <w:rFonts w:cs="Traditional Arabic" w:hint="cs"/>
          <w:b/>
          <w:bCs/>
          <w:sz w:val="28"/>
          <w:szCs w:val="28"/>
          <w:rtl/>
        </w:rPr>
        <w:t xml:space="preserve">ص </w:t>
      </w:r>
      <w:r w:rsidRPr="00157490">
        <w:rPr>
          <w:rFonts w:cs="Traditional Arabic" w:hint="cs"/>
          <w:sz w:val="28"/>
          <w:szCs w:val="28"/>
          <w:rtl/>
        </w:rPr>
        <w:t>79-82</w:t>
      </w:r>
    </w:p>
    <w:p w:rsidR="00375E15" w:rsidRPr="00157490" w:rsidRDefault="00375E15" w:rsidP="00375E15">
      <w:pPr>
        <w:spacing w:before="120" w:after="120" w:line="288" w:lineRule="auto"/>
        <w:jc w:val="lowKashida"/>
        <w:rPr>
          <w:rFonts w:cs="Traditional Arabic"/>
          <w:b/>
          <w:bCs/>
          <w:sz w:val="28"/>
          <w:szCs w:val="28"/>
        </w:rPr>
      </w:pPr>
      <w:r w:rsidRPr="00157490">
        <w:rPr>
          <w:rFonts w:cs="Traditional Arabic" w:hint="cs"/>
          <w:b/>
          <w:bCs/>
          <w:sz w:val="28"/>
          <w:szCs w:val="28"/>
          <w:rtl/>
        </w:rPr>
        <w:t xml:space="preserve">المبحث الثالث: التعريب في العصر العباسي: </w:t>
      </w:r>
      <w:r w:rsidRPr="00157490">
        <w:rPr>
          <w:rFonts w:cs="Traditional Arabic"/>
          <w:b/>
          <w:bCs/>
          <w:sz w:val="28"/>
          <w:szCs w:val="28"/>
        </w:rPr>
        <w:t>87-152</w:t>
      </w:r>
    </w:p>
    <w:p w:rsidR="00375E15" w:rsidRPr="00157490" w:rsidRDefault="00375E15" w:rsidP="00375E15">
      <w:pPr>
        <w:numPr>
          <w:ilvl w:val="0"/>
          <w:numId w:val="3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الترجمة في العصر العباسي.</w:t>
      </w:r>
    </w:p>
    <w:p w:rsidR="00375E15" w:rsidRPr="00157490" w:rsidRDefault="00375E15" w:rsidP="00375E15">
      <w:pPr>
        <w:numPr>
          <w:ilvl w:val="0"/>
          <w:numId w:val="3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أفضل مترجمي العصر العباسي ومذاهبهم.</w:t>
      </w:r>
    </w:p>
    <w:p w:rsidR="00375E15" w:rsidRPr="00157490" w:rsidRDefault="00375E15" w:rsidP="00375E15">
      <w:pPr>
        <w:numPr>
          <w:ilvl w:val="0"/>
          <w:numId w:val="3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ملاحظات عن التعريب في العصر العباسي.</w:t>
      </w:r>
    </w:p>
    <w:p w:rsidR="00375E15" w:rsidRPr="00157490" w:rsidRDefault="00375E15" w:rsidP="00375E15">
      <w:pPr>
        <w:spacing w:before="120" w:after="120" w:line="288" w:lineRule="auto"/>
        <w:jc w:val="lowKashida"/>
        <w:rPr>
          <w:rFonts w:cs="Traditional Arabic"/>
          <w:b/>
          <w:bCs/>
          <w:sz w:val="28"/>
          <w:szCs w:val="28"/>
        </w:rPr>
      </w:pPr>
      <w:r w:rsidRPr="00157490">
        <w:rPr>
          <w:rFonts w:cs="Traditional Arabic"/>
          <w:b/>
          <w:bCs/>
          <w:sz w:val="28"/>
          <w:szCs w:val="28"/>
          <w:rtl/>
        </w:rPr>
        <w:br w:type="page"/>
      </w:r>
      <w:r w:rsidRPr="00157490">
        <w:rPr>
          <w:rFonts w:cs="Traditional Arabic" w:hint="cs"/>
          <w:b/>
          <w:bCs/>
          <w:sz w:val="28"/>
          <w:szCs w:val="28"/>
          <w:rtl/>
        </w:rPr>
        <w:lastRenderedPageBreak/>
        <w:t xml:space="preserve">المبحث الرابع: المعرب في العصر الحديث: ص </w:t>
      </w:r>
      <w:r w:rsidRPr="00157490">
        <w:rPr>
          <w:rFonts w:cs="Traditional Arabic"/>
          <w:b/>
          <w:bCs/>
          <w:sz w:val="28"/>
          <w:szCs w:val="28"/>
        </w:rPr>
        <w:t>159-167</w:t>
      </w:r>
    </w:p>
    <w:p w:rsidR="00375E15" w:rsidRPr="00157490" w:rsidRDefault="00375E15" w:rsidP="00375E15">
      <w:pPr>
        <w:numPr>
          <w:ilvl w:val="0"/>
          <w:numId w:val="4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نهضة مصر العلمية في عهد محمد علي باشا.</w:t>
      </w:r>
    </w:p>
    <w:p w:rsidR="00375E15" w:rsidRPr="00157490" w:rsidRDefault="00375E15" w:rsidP="00375E15">
      <w:pPr>
        <w:numPr>
          <w:ilvl w:val="0"/>
          <w:numId w:val="4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حركة الترجمة في عهد محمد علي باشا.</w:t>
      </w:r>
    </w:p>
    <w:p w:rsidR="00375E15" w:rsidRPr="00157490" w:rsidRDefault="00375E15" w:rsidP="00375E15">
      <w:pPr>
        <w:numPr>
          <w:ilvl w:val="0"/>
          <w:numId w:val="4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حركة الترجمة في عهد خلفاء محمد علي باشا.</w:t>
      </w:r>
    </w:p>
    <w:p w:rsidR="00375E15" w:rsidRPr="00157490" w:rsidRDefault="00375E15" w:rsidP="00375E15">
      <w:pPr>
        <w:numPr>
          <w:ilvl w:val="0"/>
          <w:numId w:val="4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تقييم عام لحركة التعريب.</w:t>
      </w:r>
    </w:p>
    <w:p w:rsidR="00375E15" w:rsidRPr="00157490" w:rsidRDefault="00375E15" w:rsidP="00375E15">
      <w:pPr>
        <w:spacing w:before="120" w:after="120" w:line="288" w:lineRule="auto"/>
        <w:jc w:val="lowKashida"/>
        <w:rPr>
          <w:rFonts w:cs="Traditional Arabic"/>
          <w:b/>
          <w:bCs/>
          <w:sz w:val="28"/>
          <w:szCs w:val="28"/>
        </w:rPr>
      </w:pPr>
      <w:r w:rsidRPr="00157490">
        <w:rPr>
          <w:rFonts w:cs="Traditional Arabic" w:hint="cs"/>
          <w:b/>
          <w:bCs/>
          <w:sz w:val="28"/>
          <w:szCs w:val="28"/>
          <w:rtl/>
        </w:rPr>
        <w:t xml:space="preserve">المبحث الخامس: الأبعاد اللغوية والثقافية للتعريب: ص </w:t>
      </w:r>
      <w:r w:rsidRPr="00157490">
        <w:rPr>
          <w:rFonts w:cs="Traditional Arabic"/>
          <w:b/>
          <w:bCs/>
          <w:sz w:val="28"/>
          <w:szCs w:val="28"/>
        </w:rPr>
        <w:t>267-287</w:t>
      </w:r>
    </w:p>
    <w:p w:rsidR="00375E15" w:rsidRPr="00157490" w:rsidRDefault="00375E15" w:rsidP="00375E15">
      <w:pPr>
        <w:numPr>
          <w:ilvl w:val="0"/>
          <w:numId w:val="5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 xml:space="preserve">قضايا </w:t>
      </w:r>
      <w:proofErr w:type="spellStart"/>
      <w:r w:rsidRPr="00157490">
        <w:rPr>
          <w:rFonts w:cs="Traditional Arabic" w:hint="cs"/>
          <w:sz w:val="28"/>
          <w:szCs w:val="28"/>
          <w:rtl/>
        </w:rPr>
        <w:t>تعريبية</w:t>
      </w:r>
      <w:proofErr w:type="spellEnd"/>
      <w:r w:rsidRPr="00157490">
        <w:rPr>
          <w:rFonts w:cs="Traditional Arabic" w:hint="cs"/>
          <w:sz w:val="28"/>
          <w:szCs w:val="28"/>
          <w:rtl/>
        </w:rPr>
        <w:t>.</w:t>
      </w:r>
    </w:p>
    <w:p w:rsidR="00375E15" w:rsidRPr="00157490" w:rsidRDefault="00375E15" w:rsidP="00375E15">
      <w:pPr>
        <w:numPr>
          <w:ilvl w:val="0"/>
          <w:numId w:val="5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تعريب التعليم العالي.</w:t>
      </w:r>
    </w:p>
    <w:p w:rsidR="00375E15" w:rsidRPr="00157490" w:rsidRDefault="00375E15" w:rsidP="00375E15">
      <w:pPr>
        <w:numPr>
          <w:ilvl w:val="0"/>
          <w:numId w:val="5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>توحيد المصطلحات العلمية.</w:t>
      </w:r>
    </w:p>
    <w:p w:rsidR="00375E15" w:rsidRPr="00157490" w:rsidRDefault="00375E15" w:rsidP="00375E15">
      <w:pPr>
        <w:numPr>
          <w:ilvl w:val="0"/>
          <w:numId w:val="5"/>
        </w:numPr>
        <w:spacing w:before="120" w:after="120" w:line="288" w:lineRule="auto"/>
        <w:jc w:val="lowKashida"/>
        <w:rPr>
          <w:rFonts w:cs="Traditional Arabic" w:hint="cs"/>
          <w:sz w:val="28"/>
          <w:szCs w:val="28"/>
        </w:rPr>
      </w:pPr>
      <w:r w:rsidRPr="00157490">
        <w:rPr>
          <w:rFonts w:cs="Traditional Arabic" w:hint="cs"/>
          <w:sz w:val="28"/>
          <w:szCs w:val="28"/>
          <w:rtl/>
        </w:rPr>
        <w:t xml:space="preserve">التراث العربي ومدى الانتفاع </w:t>
      </w:r>
      <w:proofErr w:type="spellStart"/>
      <w:r w:rsidRPr="00157490">
        <w:rPr>
          <w:rFonts w:cs="Traditional Arabic" w:hint="cs"/>
          <w:sz w:val="28"/>
          <w:szCs w:val="28"/>
          <w:rtl/>
        </w:rPr>
        <w:t>به</w:t>
      </w:r>
      <w:proofErr w:type="spellEnd"/>
      <w:r w:rsidRPr="00157490">
        <w:rPr>
          <w:rFonts w:cs="Traditional Arabic" w:hint="cs"/>
          <w:sz w:val="28"/>
          <w:szCs w:val="28"/>
          <w:rtl/>
        </w:rPr>
        <w:t>.</w:t>
      </w:r>
    </w:p>
    <w:p w:rsidR="00375E15" w:rsidRDefault="00375E15" w:rsidP="00375E15">
      <w:pPr>
        <w:jc w:val="left"/>
        <w:rPr>
          <w:rFonts w:hint="cs"/>
          <w:sz w:val="28"/>
          <w:szCs w:val="28"/>
          <w:rtl/>
        </w:rPr>
      </w:pPr>
    </w:p>
    <w:p w:rsidR="00375E15" w:rsidRPr="00375E15" w:rsidRDefault="00375E15" w:rsidP="00375E15">
      <w:pPr>
        <w:jc w:val="left"/>
        <w:rPr>
          <w:rFonts w:hint="cs"/>
          <w:b/>
          <w:bCs/>
          <w:sz w:val="32"/>
          <w:szCs w:val="32"/>
          <w:rtl/>
        </w:rPr>
      </w:pPr>
      <w:r w:rsidRPr="00375E15">
        <w:rPr>
          <w:rFonts w:hint="cs"/>
          <w:b/>
          <w:bCs/>
          <w:sz w:val="32"/>
          <w:szCs w:val="32"/>
          <w:highlight w:val="green"/>
          <w:rtl/>
        </w:rPr>
        <w:t>مرجع المحاضرات: كتاب التعريب في القديم والحديث. دكتور محمد حسن عبد العزيز</w:t>
      </w:r>
    </w:p>
    <w:p w:rsidR="00375E15" w:rsidRPr="00157490" w:rsidRDefault="00375E15" w:rsidP="00375E15">
      <w:pPr>
        <w:jc w:val="left"/>
        <w:rPr>
          <w:sz w:val="28"/>
          <w:szCs w:val="28"/>
          <w:rtl/>
        </w:rPr>
      </w:pPr>
    </w:p>
    <w:p w:rsidR="00375E15" w:rsidRPr="00157490" w:rsidRDefault="00375E15" w:rsidP="00375E15">
      <w:pPr>
        <w:jc w:val="left"/>
        <w:rPr>
          <w:sz w:val="28"/>
          <w:szCs w:val="28"/>
          <w:rtl/>
        </w:rPr>
      </w:pPr>
      <w:r w:rsidRPr="00157490">
        <w:rPr>
          <w:rFonts w:hint="cs"/>
          <w:b/>
          <w:bCs/>
          <w:sz w:val="28"/>
          <w:szCs w:val="28"/>
          <w:u w:val="single"/>
          <w:rtl/>
        </w:rPr>
        <w:t xml:space="preserve">الاختبار الفصلي </w:t>
      </w:r>
      <w:proofErr w:type="spellStart"/>
      <w:r w:rsidRPr="00157490">
        <w:rPr>
          <w:rFonts w:hint="cs"/>
          <w:b/>
          <w:bCs/>
          <w:sz w:val="28"/>
          <w:szCs w:val="28"/>
          <w:u w:val="single"/>
          <w:rtl/>
        </w:rPr>
        <w:t>الاول</w:t>
      </w:r>
      <w:proofErr w:type="spellEnd"/>
      <w:r w:rsidRPr="00157490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b/>
          <w:bCs/>
          <w:sz w:val="28"/>
          <w:szCs w:val="28"/>
          <w:rtl/>
        </w:rPr>
        <w:t>6</w:t>
      </w:r>
      <w:r w:rsidRPr="00157490">
        <w:rPr>
          <w:rFonts w:hint="cs"/>
          <w:b/>
          <w:bCs/>
          <w:sz w:val="28"/>
          <w:szCs w:val="28"/>
          <w:rtl/>
        </w:rPr>
        <w:t>/0</w:t>
      </w:r>
      <w:r>
        <w:rPr>
          <w:rFonts w:hint="cs"/>
          <w:b/>
          <w:bCs/>
          <w:sz w:val="28"/>
          <w:szCs w:val="28"/>
          <w:rtl/>
        </w:rPr>
        <w:t>1</w:t>
      </w:r>
      <w:r w:rsidRPr="00157490">
        <w:rPr>
          <w:rFonts w:hint="cs"/>
          <w:b/>
          <w:bCs/>
          <w:sz w:val="28"/>
          <w:szCs w:val="28"/>
          <w:rtl/>
        </w:rPr>
        <w:t>/143</w:t>
      </w:r>
      <w:r>
        <w:rPr>
          <w:rFonts w:hint="cs"/>
          <w:b/>
          <w:bCs/>
          <w:sz w:val="28"/>
          <w:szCs w:val="28"/>
          <w:rtl/>
        </w:rPr>
        <w:t>6</w:t>
      </w:r>
      <w:r w:rsidRPr="00157490">
        <w:rPr>
          <w:rFonts w:hint="cs"/>
          <w:b/>
          <w:bCs/>
          <w:sz w:val="28"/>
          <w:szCs w:val="28"/>
          <w:rtl/>
        </w:rPr>
        <w:t xml:space="preserve">        </w:t>
      </w:r>
      <w:r w:rsidRPr="00157490">
        <w:rPr>
          <w:rFonts w:hint="cs"/>
          <w:b/>
          <w:bCs/>
          <w:sz w:val="28"/>
          <w:szCs w:val="28"/>
          <w:u w:val="single"/>
          <w:rtl/>
        </w:rPr>
        <w:t xml:space="preserve">     الاختبار الفصلي الثاني</w:t>
      </w:r>
      <w:r w:rsidRPr="00157490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b/>
          <w:bCs/>
          <w:sz w:val="28"/>
          <w:szCs w:val="28"/>
          <w:rtl/>
        </w:rPr>
        <w:t>19</w:t>
      </w:r>
      <w:r w:rsidRPr="00157490">
        <w:rPr>
          <w:rFonts w:hint="cs"/>
          <w:b/>
          <w:bCs/>
          <w:sz w:val="28"/>
          <w:szCs w:val="28"/>
          <w:rtl/>
        </w:rPr>
        <w:t>/0</w:t>
      </w:r>
      <w:r>
        <w:rPr>
          <w:rFonts w:hint="cs"/>
          <w:b/>
          <w:bCs/>
          <w:sz w:val="28"/>
          <w:szCs w:val="28"/>
          <w:rtl/>
        </w:rPr>
        <w:t>2</w:t>
      </w:r>
      <w:r w:rsidRPr="00157490">
        <w:rPr>
          <w:rFonts w:hint="cs"/>
          <w:b/>
          <w:bCs/>
          <w:sz w:val="28"/>
          <w:szCs w:val="28"/>
          <w:rtl/>
        </w:rPr>
        <w:t>/143</w:t>
      </w:r>
      <w:r>
        <w:rPr>
          <w:rFonts w:hint="cs"/>
          <w:b/>
          <w:bCs/>
          <w:sz w:val="28"/>
          <w:szCs w:val="28"/>
          <w:rtl/>
        </w:rPr>
        <w:t>6</w:t>
      </w:r>
      <w:r w:rsidRPr="00157490">
        <w:rPr>
          <w:rFonts w:hint="cs"/>
          <w:b/>
          <w:bCs/>
          <w:sz w:val="28"/>
          <w:szCs w:val="28"/>
          <w:rtl/>
        </w:rPr>
        <w:t xml:space="preserve">هـ </w:t>
      </w:r>
    </w:p>
    <w:p w:rsidR="00796397" w:rsidRDefault="00375E15" w:rsidP="00375E15">
      <w:pPr>
        <w:jc w:val="both"/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Pr="00295819">
        <w:rPr>
          <w:rFonts w:hint="cs"/>
          <w:b/>
          <w:bCs/>
          <w:sz w:val="28"/>
          <w:szCs w:val="28"/>
          <w:rtl/>
        </w:rPr>
        <w:t>درجات الفصلي الأول: 2</w:t>
      </w:r>
      <w:r>
        <w:rPr>
          <w:rFonts w:hint="cs"/>
          <w:b/>
          <w:bCs/>
          <w:sz w:val="28"/>
          <w:szCs w:val="28"/>
          <w:rtl/>
        </w:rPr>
        <w:t>5</w:t>
      </w:r>
      <w:r w:rsidRPr="00295819">
        <w:rPr>
          <w:rFonts w:hint="cs"/>
          <w:b/>
          <w:bCs/>
          <w:sz w:val="28"/>
          <w:szCs w:val="28"/>
          <w:rtl/>
        </w:rPr>
        <w:t xml:space="preserve">      درجات الفصلي الثاني: 30     درجات </w:t>
      </w:r>
      <w:r>
        <w:rPr>
          <w:rFonts w:hint="cs"/>
          <w:b/>
          <w:bCs/>
          <w:sz w:val="28"/>
          <w:szCs w:val="28"/>
          <w:rtl/>
        </w:rPr>
        <w:t>الواجبات</w:t>
      </w:r>
      <w:r w:rsidRPr="00295819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5</w:t>
      </w:r>
    </w:p>
    <w:sectPr w:rsidR="00796397" w:rsidSect="00796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01091"/>
    <w:multiLevelType w:val="hybridMultilevel"/>
    <w:tmpl w:val="8E9C654A"/>
    <w:lvl w:ilvl="0" w:tplc="EEC21D78">
      <w:start w:val="1"/>
      <w:numFmt w:val="decimal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025FF"/>
    <w:multiLevelType w:val="hybridMultilevel"/>
    <w:tmpl w:val="A1E08AEE"/>
    <w:lvl w:ilvl="0" w:tplc="EEC21D78">
      <w:start w:val="1"/>
      <w:numFmt w:val="decimal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244BF2"/>
    <w:multiLevelType w:val="hybridMultilevel"/>
    <w:tmpl w:val="2940039E"/>
    <w:lvl w:ilvl="0" w:tplc="EEC21D78">
      <w:start w:val="1"/>
      <w:numFmt w:val="decimal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3C9A68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448BB"/>
    <w:multiLevelType w:val="hybridMultilevel"/>
    <w:tmpl w:val="F35CA638"/>
    <w:lvl w:ilvl="0" w:tplc="EEC21D78">
      <w:start w:val="1"/>
      <w:numFmt w:val="decimal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034EB0"/>
    <w:multiLevelType w:val="hybridMultilevel"/>
    <w:tmpl w:val="F132C7C0"/>
    <w:lvl w:ilvl="0" w:tplc="EEC21D78">
      <w:start w:val="1"/>
      <w:numFmt w:val="decimal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5E15"/>
    <w:rsid w:val="00375E15"/>
    <w:rsid w:val="0079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E15"/>
    <w:pPr>
      <w:bidi/>
      <w:jc w:val="right"/>
    </w:pPr>
    <w:rPr>
      <w:rFonts w:ascii="Calibri" w:eastAsia="Calibri" w:hAnsi="Calibri" w:cs="Arial"/>
    </w:rPr>
  </w:style>
  <w:style w:type="paragraph" w:styleId="Heading2">
    <w:name w:val="heading 2"/>
    <w:basedOn w:val="Normal"/>
    <w:next w:val="Normal"/>
    <w:link w:val="Heading2Char"/>
    <w:unhideWhenUsed/>
    <w:qFormat/>
    <w:rsid w:val="00375E15"/>
    <w:pPr>
      <w:bidi w:val="0"/>
      <w:spacing w:before="240" w:after="40" w:line="264" w:lineRule="auto"/>
      <w:jc w:val="left"/>
      <w:outlineLvl w:val="1"/>
    </w:pPr>
    <w:rPr>
      <w:rFonts w:asciiTheme="minorHAnsi" w:eastAsiaTheme="minorHAnsi" w:hAnsiTheme="minorHAnsi" w:cstheme="minorBidi"/>
      <w:caps/>
      <w:color w:val="000000" w:themeColor="text1"/>
      <w:spacing w:val="1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75E15"/>
    <w:rPr>
      <w:caps/>
      <w:color w:val="000000" w:themeColor="text1"/>
      <w:spacing w:val="1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sshaikh hamza sheikh</dc:creator>
  <cp:lastModifiedBy>sshaikh hamza sheikh</cp:lastModifiedBy>
  <cp:revision>1</cp:revision>
  <dcterms:created xsi:type="dcterms:W3CDTF">2014-09-01T06:26:00Z</dcterms:created>
  <dcterms:modified xsi:type="dcterms:W3CDTF">2014-09-01T06:31:00Z</dcterms:modified>
</cp:coreProperties>
</file>