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6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5"/>
        <w:gridCol w:w="6891"/>
      </w:tblGrid>
      <w:tr w:rsidR="00876D89" w:rsidRPr="00BB671F" w:rsidTr="008C7399">
        <w:trPr>
          <w:trHeight w:val="240"/>
        </w:trPr>
        <w:tc>
          <w:tcPr>
            <w:tcW w:w="1625" w:type="dxa"/>
          </w:tcPr>
          <w:p w:rsidR="00876D89" w:rsidRPr="00475B8A" w:rsidRDefault="00876D89" w:rsidP="008C7399">
            <w:pPr>
              <w:bidi w:val="0"/>
              <w:ind w:left="255"/>
              <w:rPr>
                <w:b/>
                <w:bCs/>
              </w:rPr>
            </w:pPr>
            <w:bookmarkStart w:id="0" w:name="_GoBack"/>
            <w:bookmarkEnd w:id="0"/>
            <w:r w:rsidRPr="00475B8A">
              <w:rPr>
                <w:b/>
                <w:bCs/>
              </w:rPr>
              <w:t xml:space="preserve">Week </w:t>
            </w:r>
          </w:p>
        </w:tc>
        <w:tc>
          <w:tcPr>
            <w:tcW w:w="6891" w:type="dxa"/>
          </w:tcPr>
          <w:p w:rsidR="00876D89" w:rsidRPr="00475B8A" w:rsidRDefault="00876D89" w:rsidP="008C7399">
            <w:pPr>
              <w:bidi w:val="0"/>
              <w:jc w:val="center"/>
              <w:rPr>
                <w:b/>
                <w:bCs/>
              </w:rPr>
            </w:pPr>
            <w:r w:rsidRPr="00475B8A">
              <w:rPr>
                <w:b/>
                <w:bCs/>
              </w:rPr>
              <w:t>Topic</w:t>
            </w:r>
          </w:p>
        </w:tc>
      </w:tr>
      <w:tr w:rsidR="00876D89" w:rsidRPr="00BB671F" w:rsidTr="008C7399">
        <w:trPr>
          <w:trHeight w:val="300"/>
        </w:trPr>
        <w:tc>
          <w:tcPr>
            <w:tcW w:w="1625" w:type="dxa"/>
          </w:tcPr>
          <w:p w:rsidR="00876D89" w:rsidRPr="00475B8A" w:rsidRDefault="00876D89" w:rsidP="008C7399">
            <w:pPr>
              <w:bidi w:val="0"/>
              <w:ind w:left="255"/>
              <w:rPr>
                <w:b/>
                <w:bCs/>
              </w:rPr>
            </w:pPr>
            <w:r w:rsidRPr="00475B8A">
              <w:rPr>
                <w:b/>
                <w:bCs/>
              </w:rPr>
              <w:t>1</w:t>
            </w:r>
            <w:r w:rsidRPr="00475B8A">
              <w:rPr>
                <w:b/>
                <w:bCs/>
                <w:vertAlign w:val="superscript"/>
              </w:rPr>
              <w:t>st</w:t>
            </w:r>
            <w:r w:rsidRPr="00475B8A">
              <w:rPr>
                <w:b/>
                <w:bCs/>
              </w:rPr>
              <w:t xml:space="preserve"> week</w:t>
            </w:r>
          </w:p>
        </w:tc>
        <w:tc>
          <w:tcPr>
            <w:tcW w:w="6891" w:type="dxa"/>
          </w:tcPr>
          <w:p w:rsidR="00876D89" w:rsidRPr="00475B8A" w:rsidRDefault="008C7399" w:rsidP="008C7399">
            <w:pPr>
              <w:bidi w:val="0"/>
            </w:pPr>
            <w:r>
              <w:t>Introduction</w:t>
            </w:r>
          </w:p>
        </w:tc>
      </w:tr>
      <w:tr w:rsidR="008C7399" w:rsidRPr="00BB671F" w:rsidTr="008C7399">
        <w:trPr>
          <w:trHeight w:val="300"/>
        </w:trPr>
        <w:tc>
          <w:tcPr>
            <w:tcW w:w="1625" w:type="dxa"/>
          </w:tcPr>
          <w:p w:rsidR="008C7399" w:rsidRPr="00475B8A" w:rsidRDefault="008C7399" w:rsidP="008C7399">
            <w:pPr>
              <w:bidi w:val="0"/>
              <w:ind w:left="255"/>
              <w:rPr>
                <w:b/>
                <w:bCs/>
              </w:rPr>
            </w:pPr>
            <w:r w:rsidRPr="00475B8A">
              <w:rPr>
                <w:b/>
                <w:bCs/>
              </w:rPr>
              <w:t>2</w:t>
            </w:r>
            <w:r w:rsidRPr="00475B8A">
              <w:rPr>
                <w:b/>
                <w:bCs/>
                <w:vertAlign w:val="superscript"/>
              </w:rPr>
              <w:t>nd</w:t>
            </w:r>
            <w:r w:rsidRPr="00475B8A">
              <w:rPr>
                <w:b/>
                <w:bCs/>
              </w:rPr>
              <w:t xml:space="preserve"> week</w:t>
            </w:r>
          </w:p>
        </w:tc>
        <w:tc>
          <w:tcPr>
            <w:tcW w:w="6891" w:type="dxa"/>
            <w:tcBorders>
              <w:left w:val="nil"/>
              <w:right w:val="single" w:sz="4" w:space="0" w:color="auto"/>
            </w:tcBorders>
          </w:tcPr>
          <w:p w:rsidR="008C7399" w:rsidRPr="00475B8A" w:rsidRDefault="008C7399" w:rsidP="008C7399">
            <w:pPr>
              <w:bidi w:val="0"/>
            </w:pPr>
            <w:r>
              <w:t>Basic concepts &amp; terminology</w:t>
            </w:r>
          </w:p>
        </w:tc>
      </w:tr>
      <w:tr w:rsidR="008C7399" w:rsidRPr="00BB671F" w:rsidTr="008C7399">
        <w:trPr>
          <w:trHeight w:val="270"/>
        </w:trPr>
        <w:tc>
          <w:tcPr>
            <w:tcW w:w="1625" w:type="dxa"/>
          </w:tcPr>
          <w:p w:rsidR="008C7399" w:rsidRPr="00475B8A" w:rsidRDefault="008C7399" w:rsidP="008C7399">
            <w:pPr>
              <w:bidi w:val="0"/>
              <w:ind w:left="255"/>
              <w:rPr>
                <w:b/>
                <w:bCs/>
              </w:rPr>
            </w:pPr>
            <w:r w:rsidRPr="00475B8A">
              <w:rPr>
                <w:b/>
                <w:bCs/>
              </w:rPr>
              <w:t>3</w:t>
            </w:r>
            <w:r w:rsidRPr="00475B8A">
              <w:rPr>
                <w:b/>
                <w:bCs/>
                <w:vertAlign w:val="superscript"/>
              </w:rPr>
              <w:t>rd</w:t>
            </w:r>
            <w:r w:rsidRPr="00475B8A">
              <w:rPr>
                <w:b/>
                <w:bCs/>
              </w:rPr>
              <w:t xml:space="preserve"> week</w:t>
            </w:r>
          </w:p>
        </w:tc>
        <w:tc>
          <w:tcPr>
            <w:tcW w:w="6891" w:type="dxa"/>
            <w:tcBorders>
              <w:left w:val="nil"/>
            </w:tcBorders>
          </w:tcPr>
          <w:p w:rsidR="008C7399" w:rsidRPr="00475B8A" w:rsidRDefault="008C7399" w:rsidP="008C7399">
            <w:pPr>
              <w:bidi w:val="0"/>
            </w:pPr>
            <w:r>
              <w:t>Typical development: common characteristics &amp; individual differences</w:t>
            </w:r>
          </w:p>
        </w:tc>
      </w:tr>
      <w:tr w:rsidR="008C7399" w:rsidRPr="00BB671F" w:rsidTr="008C7399">
        <w:trPr>
          <w:trHeight w:val="270"/>
        </w:trPr>
        <w:tc>
          <w:tcPr>
            <w:tcW w:w="1625" w:type="dxa"/>
          </w:tcPr>
          <w:p w:rsidR="008C7399" w:rsidRPr="00475B8A" w:rsidRDefault="008C7399" w:rsidP="008C7399">
            <w:pPr>
              <w:bidi w:val="0"/>
              <w:ind w:left="255"/>
              <w:rPr>
                <w:b/>
                <w:bCs/>
              </w:rPr>
            </w:pPr>
            <w:r w:rsidRPr="00475B8A">
              <w:rPr>
                <w:b/>
                <w:bCs/>
              </w:rPr>
              <w:t>4</w:t>
            </w:r>
            <w:r w:rsidRPr="00475B8A">
              <w:rPr>
                <w:b/>
                <w:bCs/>
                <w:vertAlign w:val="superscript"/>
              </w:rPr>
              <w:t>th</w:t>
            </w:r>
            <w:r w:rsidRPr="00475B8A">
              <w:rPr>
                <w:b/>
                <w:bCs/>
              </w:rPr>
              <w:t xml:space="preserve"> week </w:t>
            </w:r>
          </w:p>
        </w:tc>
        <w:tc>
          <w:tcPr>
            <w:tcW w:w="6891" w:type="dxa"/>
          </w:tcPr>
          <w:p w:rsidR="008C7399" w:rsidRPr="00475B8A" w:rsidRDefault="008C7399" w:rsidP="008C7399">
            <w:pPr>
              <w:bidi w:val="0"/>
              <w:rPr>
                <w:color w:val="365F91"/>
              </w:rPr>
            </w:pPr>
            <w:r>
              <w:t xml:space="preserve">Analysis of articulation &amp; phonological disorders </w:t>
            </w:r>
          </w:p>
        </w:tc>
      </w:tr>
      <w:tr w:rsidR="008C7399" w:rsidRPr="00BB671F" w:rsidTr="008C7399">
        <w:trPr>
          <w:trHeight w:val="300"/>
        </w:trPr>
        <w:tc>
          <w:tcPr>
            <w:tcW w:w="1625" w:type="dxa"/>
          </w:tcPr>
          <w:p w:rsidR="008C7399" w:rsidRPr="00475B8A" w:rsidRDefault="008C7399" w:rsidP="008C7399">
            <w:pPr>
              <w:bidi w:val="0"/>
              <w:ind w:left="255"/>
              <w:rPr>
                <w:b/>
                <w:bCs/>
              </w:rPr>
            </w:pPr>
            <w:r w:rsidRPr="00475B8A">
              <w:rPr>
                <w:b/>
                <w:bCs/>
              </w:rPr>
              <w:t>5</w:t>
            </w:r>
            <w:r w:rsidRPr="00475B8A">
              <w:rPr>
                <w:b/>
                <w:bCs/>
                <w:vertAlign w:val="superscript"/>
              </w:rPr>
              <w:t>th</w:t>
            </w:r>
            <w:r w:rsidRPr="00475B8A">
              <w:rPr>
                <w:b/>
                <w:bCs/>
              </w:rPr>
              <w:t xml:space="preserve"> week</w:t>
            </w:r>
          </w:p>
          <w:p w:rsidR="008C7399" w:rsidRPr="00475B8A" w:rsidRDefault="008C7399" w:rsidP="008C7399">
            <w:pPr>
              <w:bidi w:val="0"/>
              <w:ind w:left="255"/>
              <w:rPr>
                <w:b/>
                <w:bCs/>
                <w:color w:val="365F91"/>
              </w:rPr>
            </w:pPr>
          </w:p>
        </w:tc>
        <w:tc>
          <w:tcPr>
            <w:tcW w:w="6891" w:type="dxa"/>
            <w:tcBorders>
              <w:right w:val="single" w:sz="4" w:space="0" w:color="auto"/>
            </w:tcBorders>
          </w:tcPr>
          <w:p w:rsidR="008C7399" w:rsidRPr="00475B8A" w:rsidRDefault="008C7399" w:rsidP="008C7399">
            <w:pPr>
              <w:bidi w:val="0"/>
            </w:pPr>
            <w:r>
              <w:t>introduction to articulation test.</w:t>
            </w:r>
          </w:p>
        </w:tc>
      </w:tr>
      <w:tr w:rsidR="008C7399" w:rsidRPr="00BB671F" w:rsidTr="008C7399">
        <w:trPr>
          <w:trHeight w:val="300"/>
        </w:trPr>
        <w:tc>
          <w:tcPr>
            <w:tcW w:w="1625" w:type="dxa"/>
          </w:tcPr>
          <w:p w:rsidR="008C7399" w:rsidRPr="00475B8A" w:rsidRDefault="008C7399" w:rsidP="008C7399">
            <w:pPr>
              <w:bidi w:val="0"/>
              <w:ind w:left="255"/>
              <w:rPr>
                <w:b/>
                <w:bCs/>
              </w:rPr>
            </w:pPr>
            <w:r w:rsidRPr="00475B8A">
              <w:rPr>
                <w:b/>
                <w:bCs/>
              </w:rPr>
              <w:t>6</w:t>
            </w:r>
            <w:r w:rsidRPr="00475B8A">
              <w:rPr>
                <w:b/>
                <w:bCs/>
                <w:vertAlign w:val="superscript"/>
              </w:rPr>
              <w:t>th</w:t>
            </w:r>
            <w:r w:rsidRPr="00475B8A">
              <w:rPr>
                <w:b/>
                <w:bCs/>
              </w:rPr>
              <w:t xml:space="preserve"> week:</w:t>
            </w:r>
          </w:p>
        </w:tc>
        <w:tc>
          <w:tcPr>
            <w:tcW w:w="6891" w:type="dxa"/>
            <w:tcBorders>
              <w:left w:val="nil"/>
            </w:tcBorders>
          </w:tcPr>
          <w:p w:rsidR="008C7399" w:rsidRPr="00475B8A" w:rsidRDefault="008C7399" w:rsidP="008C7399">
            <w:pPr>
              <w:bidi w:val="0"/>
            </w:pPr>
            <w:r>
              <w:t>Treatment principles</w:t>
            </w:r>
          </w:p>
        </w:tc>
      </w:tr>
      <w:tr w:rsidR="008C7399" w:rsidRPr="00BB671F" w:rsidTr="008C7399">
        <w:trPr>
          <w:trHeight w:val="300"/>
        </w:trPr>
        <w:tc>
          <w:tcPr>
            <w:tcW w:w="1625" w:type="dxa"/>
          </w:tcPr>
          <w:p w:rsidR="008C7399" w:rsidRPr="00475B8A" w:rsidRDefault="008C7399" w:rsidP="008C7399">
            <w:pPr>
              <w:bidi w:val="0"/>
              <w:ind w:left="255"/>
              <w:rPr>
                <w:b/>
                <w:bCs/>
              </w:rPr>
            </w:pPr>
            <w:r w:rsidRPr="00475B8A">
              <w:rPr>
                <w:b/>
                <w:bCs/>
              </w:rPr>
              <w:t>7</w:t>
            </w:r>
            <w:r w:rsidRPr="00475B8A">
              <w:rPr>
                <w:b/>
                <w:bCs/>
                <w:vertAlign w:val="superscript"/>
              </w:rPr>
              <w:t>th</w:t>
            </w:r>
            <w:r w:rsidRPr="00475B8A">
              <w:rPr>
                <w:b/>
                <w:bCs/>
              </w:rPr>
              <w:t xml:space="preserve"> week</w:t>
            </w:r>
          </w:p>
        </w:tc>
        <w:tc>
          <w:tcPr>
            <w:tcW w:w="6891" w:type="dxa"/>
          </w:tcPr>
          <w:p w:rsidR="008C7399" w:rsidRPr="00475B8A" w:rsidRDefault="008C7399" w:rsidP="008C7399">
            <w:pPr>
              <w:bidi w:val="0"/>
            </w:pPr>
            <w:r>
              <w:t>Facilitative techniques</w:t>
            </w:r>
          </w:p>
        </w:tc>
      </w:tr>
      <w:tr w:rsidR="008C7399" w:rsidRPr="00BB671F" w:rsidTr="008C7399">
        <w:trPr>
          <w:trHeight w:val="270"/>
        </w:trPr>
        <w:tc>
          <w:tcPr>
            <w:tcW w:w="1625" w:type="dxa"/>
          </w:tcPr>
          <w:p w:rsidR="008C7399" w:rsidRPr="00475B8A" w:rsidRDefault="008C7399" w:rsidP="008C7399">
            <w:pPr>
              <w:bidi w:val="0"/>
              <w:ind w:left="255"/>
              <w:rPr>
                <w:b/>
                <w:bCs/>
                <w:i/>
                <w:iCs/>
              </w:rPr>
            </w:pPr>
            <w:r w:rsidRPr="00475B8A">
              <w:rPr>
                <w:b/>
                <w:bCs/>
                <w:i/>
                <w:iCs/>
              </w:rPr>
              <w:t>8</w:t>
            </w:r>
            <w:r w:rsidRPr="00475B8A">
              <w:rPr>
                <w:b/>
                <w:bCs/>
                <w:i/>
                <w:iCs/>
                <w:vertAlign w:val="superscript"/>
              </w:rPr>
              <w:t>th</w:t>
            </w:r>
            <w:r w:rsidRPr="00475B8A">
              <w:rPr>
                <w:b/>
                <w:bCs/>
                <w:i/>
                <w:iCs/>
              </w:rPr>
              <w:t xml:space="preserve"> week </w:t>
            </w:r>
          </w:p>
        </w:tc>
        <w:tc>
          <w:tcPr>
            <w:tcW w:w="6891" w:type="dxa"/>
            <w:tcBorders>
              <w:left w:val="nil"/>
              <w:right w:val="single" w:sz="4" w:space="0" w:color="auto"/>
            </w:tcBorders>
          </w:tcPr>
          <w:p w:rsidR="008C7399" w:rsidRPr="00475B8A" w:rsidRDefault="008C7399" w:rsidP="008C7399">
            <w:pPr>
              <w:bidi w:val="0"/>
              <w:rPr>
                <w:b/>
                <w:bCs/>
                <w:i/>
                <w:iCs/>
              </w:rPr>
            </w:pPr>
            <w:r>
              <w:rPr>
                <w:b/>
                <w:bCs/>
                <w:i/>
                <w:iCs/>
              </w:rPr>
              <w:t>QUIZ</w:t>
            </w:r>
          </w:p>
        </w:tc>
      </w:tr>
      <w:tr w:rsidR="008C7399" w:rsidRPr="00BB671F" w:rsidTr="008C7399">
        <w:trPr>
          <w:trHeight w:val="270"/>
        </w:trPr>
        <w:tc>
          <w:tcPr>
            <w:tcW w:w="1625" w:type="dxa"/>
          </w:tcPr>
          <w:p w:rsidR="008C7399" w:rsidRPr="00475B8A" w:rsidRDefault="008C7399" w:rsidP="008C7399">
            <w:pPr>
              <w:bidi w:val="0"/>
              <w:ind w:left="255"/>
              <w:rPr>
                <w:b/>
                <w:bCs/>
                <w:i/>
                <w:iCs/>
              </w:rPr>
            </w:pPr>
            <w:r w:rsidRPr="00475B8A">
              <w:rPr>
                <w:b/>
                <w:bCs/>
                <w:i/>
                <w:iCs/>
              </w:rPr>
              <w:t>9</w:t>
            </w:r>
            <w:r w:rsidRPr="00475B8A">
              <w:rPr>
                <w:b/>
                <w:bCs/>
                <w:i/>
                <w:iCs/>
                <w:vertAlign w:val="superscript"/>
              </w:rPr>
              <w:t>th</w:t>
            </w:r>
            <w:r w:rsidRPr="00475B8A">
              <w:rPr>
                <w:b/>
                <w:bCs/>
                <w:i/>
                <w:iCs/>
              </w:rPr>
              <w:t xml:space="preserve"> week</w:t>
            </w:r>
          </w:p>
        </w:tc>
        <w:tc>
          <w:tcPr>
            <w:tcW w:w="6891" w:type="dxa"/>
          </w:tcPr>
          <w:p w:rsidR="008C7399" w:rsidRPr="00475B8A" w:rsidRDefault="008C7399" w:rsidP="008C7399">
            <w:pPr>
              <w:bidi w:val="0"/>
              <w:rPr>
                <w:b/>
                <w:bCs/>
                <w:i/>
                <w:iCs/>
              </w:rPr>
            </w:pPr>
            <w:r w:rsidRPr="00475B8A">
              <w:rPr>
                <w:b/>
                <w:bCs/>
                <w:i/>
                <w:iCs/>
              </w:rPr>
              <w:t>Mid-semester Vacation</w:t>
            </w:r>
          </w:p>
        </w:tc>
      </w:tr>
      <w:tr w:rsidR="008C7399" w:rsidRPr="00BB671F" w:rsidTr="008C7399">
        <w:trPr>
          <w:trHeight w:val="297"/>
        </w:trPr>
        <w:tc>
          <w:tcPr>
            <w:tcW w:w="1625" w:type="dxa"/>
          </w:tcPr>
          <w:p w:rsidR="008C7399" w:rsidRPr="00475B8A" w:rsidRDefault="008C7399" w:rsidP="008C7399">
            <w:pPr>
              <w:bidi w:val="0"/>
              <w:ind w:left="255"/>
              <w:rPr>
                <w:b/>
                <w:bCs/>
              </w:rPr>
            </w:pPr>
            <w:r w:rsidRPr="00475B8A">
              <w:rPr>
                <w:b/>
                <w:bCs/>
              </w:rPr>
              <w:t>10</w:t>
            </w:r>
            <w:r w:rsidRPr="00475B8A">
              <w:rPr>
                <w:b/>
                <w:bCs/>
                <w:vertAlign w:val="superscript"/>
              </w:rPr>
              <w:t>th</w:t>
            </w:r>
            <w:r w:rsidRPr="00475B8A">
              <w:rPr>
                <w:b/>
                <w:bCs/>
              </w:rPr>
              <w:t xml:space="preserve"> week</w:t>
            </w:r>
          </w:p>
        </w:tc>
        <w:tc>
          <w:tcPr>
            <w:tcW w:w="6891" w:type="dxa"/>
            <w:tcBorders>
              <w:left w:val="nil"/>
            </w:tcBorders>
          </w:tcPr>
          <w:p w:rsidR="008C7399" w:rsidRPr="00475B8A" w:rsidRDefault="008C7399" w:rsidP="008C7399">
            <w:pPr>
              <w:bidi w:val="0"/>
            </w:pPr>
            <w:r>
              <w:t>Hospital visit</w:t>
            </w:r>
          </w:p>
        </w:tc>
      </w:tr>
      <w:tr w:rsidR="008C7399" w:rsidRPr="00BB671F" w:rsidTr="008C7399">
        <w:trPr>
          <w:trHeight w:val="261"/>
        </w:trPr>
        <w:tc>
          <w:tcPr>
            <w:tcW w:w="1625" w:type="dxa"/>
          </w:tcPr>
          <w:p w:rsidR="008C7399" w:rsidRPr="00475B8A" w:rsidRDefault="008C7399" w:rsidP="008C7399">
            <w:pPr>
              <w:bidi w:val="0"/>
              <w:ind w:left="255"/>
              <w:rPr>
                <w:b/>
                <w:bCs/>
              </w:rPr>
            </w:pPr>
            <w:r w:rsidRPr="00475B8A">
              <w:rPr>
                <w:b/>
                <w:bCs/>
              </w:rPr>
              <w:t>11</w:t>
            </w:r>
            <w:r w:rsidRPr="00475B8A">
              <w:rPr>
                <w:b/>
                <w:bCs/>
                <w:vertAlign w:val="superscript"/>
              </w:rPr>
              <w:t>th</w:t>
            </w:r>
            <w:r w:rsidRPr="00475B8A">
              <w:rPr>
                <w:b/>
                <w:bCs/>
              </w:rPr>
              <w:t xml:space="preserve"> week</w:t>
            </w:r>
          </w:p>
        </w:tc>
        <w:tc>
          <w:tcPr>
            <w:tcW w:w="6891" w:type="dxa"/>
          </w:tcPr>
          <w:p w:rsidR="008C7399" w:rsidRPr="00475B8A" w:rsidRDefault="008C7399" w:rsidP="008C7399">
            <w:pPr>
              <w:bidi w:val="0"/>
            </w:pPr>
            <w:r>
              <w:t>Hospital visit</w:t>
            </w:r>
          </w:p>
        </w:tc>
      </w:tr>
      <w:tr w:rsidR="008C7399" w:rsidRPr="00BB671F" w:rsidTr="008C7399">
        <w:trPr>
          <w:trHeight w:val="210"/>
        </w:trPr>
        <w:tc>
          <w:tcPr>
            <w:tcW w:w="1625" w:type="dxa"/>
          </w:tcPr>
          <w:p w:rsidR="008C7399" w:rsidRPr="00475B8A" w:rsidRDefault="008C7399" w:rsidP="008C7399">
            <w:pPr>
              <w:bidi w:val="0"/>
              <w:ind w:left="255"/>
              <w:rPr>
                <w:b/>
                <w:bCs/>
              </w:rPr>
            </w:pPr>
            <w:r w:rsidRPr="00475B8A">
              <w:rPr>
                <w:b/>
                <w:bCs/>
              </w:rPr>
              <w:t>12</w:t>
            </w:r>
            <w:r w:rsidRPr="00475B8A">
              <w:rPr>
                <w:b/>
                <w:bCs/>
                <w:vertAlign w:val="superscript"/>
              </w:rPr>
              <w:t>th</w:t>
            </w:r>
            <w:r w:rsidRPr="00475B8A">
              <w:rPr>
                <w:b/>
                <w:bCs/>
              </w:rPr>
              <w:t xml:space="preserve"> week</w:t>
            </w:r>
          </w:p>
        </w:tc>
        <w:tc>
          <w:tcPr>
            <w:tcW w:w="6891" w:type="dxa"/>
            <w:tcBorders>
              <w:left w:val="nil"/>
            </w:tcBorders>
          </w:tcPr>
          <w:p w:rsidR="008C7399" w:rsidRPr="00475B8A" w:rsidRDefault="008C7399" w:rsidP="008C7399">
            <w:pPr>
              <w:bidi w:val="0"/>
            </w:pPr>
            <w:r>
              <w:t>Hospital visit</w:t>
            </w:r>
          </w:p>
        </w:tc>
      </w:tr>
      <w:tr w:rsidR="008C7399" w:rsidRPr="00BB671F" w:rsidTr="008C7399">
        <w:trPr>
          <w:trHeight w:val="330"/>
        </w:trPr>
        <w:tc>
          <w:tcPr>
            <w:tcW w:w="1625" w:type="dxa"/>
          </w:tcPr>
          <w:p w:rsidR="008C7399" w:rsidRPr="00475B8A" w:rsidRDefault="008C7399" w:rsidP="008C7399">
            <w:pPr>
              <w:bidi w:val="0"/>
              <w:ind w:left="255"/>
              <w:rPr>
                <w:b/>
                <w:bCs/>
              </w:rPr>
            </w:pPr>
            <w:r w:rsidRPr="00475B8A">
              <w:rPr>
                <w:b/>
                <w:bCs/>
              </w:rPr>
              <w:t>13</w:t>
            </w:r>
            <w:r w:rsidRPr="00475B8A">
              <w:rPr>
                <w:b/>
                <w:bCs/>
                <w:vertAlign w:val="superscript"/>
              </w:rPr>
              <w:t>th</w:t>
            </w:r>
            <w:r w:rsidRPr="00475B8A">
              <w:rPr>
                <w:b/>
                <w:bCs/>
              </w:rPr>
              <w:t xml:space="preserve"> week</w:t>
            </w:r>
          </w:p>
        </w:tc>
        <w:tc>
          <w:tcPr>
            <w:tcW w:w="6891" w:type="dxa"/>
          </w:tcPr>
          <w:p w:rsidR="008C7399" w:rsidRPr="00475B8A" w:rsidRDefault="008C7399" w:rsidP="008C7399">
            <w:pPr>
              <w:bidi w:val="0"/>
            </w:pPr>
            <w:r>
              <w:t>Hospital visit</w:t>
            </w:r>
          </w:p>
        </w:tc>
      </w:tr>
      <w:tr w:rsidR="008C7399" w:rsidRPr="00BB671F" w:rsidTr="008C7399">
        <w:trPr>
          <w:trHeight w:val="330"/>
        </w:trPr>
        <w:tc>
          <w:tcPr>
            <w:tcW w:w="1625" w:type="dxa"/>
          </w:tcPr>
          <w:p w:rsidR="008C7399" w:rsidRPr="00475B8A" w:rsidRDefault="008C7399" w:rsidP="008C7399">
            <w:pPr>
              <w:bidi w:val="0"/>
              <w:ind w:left="255"/>
              <w:rPr>
                <w:b/>
                <w:bCs/>
                <w:i/>
                <w:iCs/>
              </w:rPr>
            </w:pPr>
            <w:r w:rsidRPr="00475B8A">
              <w:rPr>
                <w:b/>
                <w:bCs/>
                <w:i/>
                <w:iCs/>
              </w:rPr>
              <w:t>14</w:t>
            </w:r>
            <w:r w:rsidRPr="00475B8A">
              <w:rPr>
                <w:b/>
                <w:bCs/>
                <w:i/>
                <w:iCs/>
                <w:vertAlign w:val="superscript"/>
              </w:rPr>
              <w:t>th</w:t>
            </w:r>
            <w:r w:rsidRPr="00475B8A">
              <w:rPr>
                <w:b/>
                <w:bCs/>
                <w:i/>
                <w:iCs/>
              </w:rPr>
              <w:t xml:space="preserve"> week</w:t>
            </w:r>
          </w:p>
        </w:tc>
        <w:tc>
          <w:tcPr>
            <w:tcW w:w="6891" w:type="dxa"/>
          </w:tcPr>
          <w:p w:rsidR="008C7399" w:rsidRPr="00475B8A" w:rsidRDefault="008C7399" w:rsidP="008C7399">
            <w:pPr>
              <w:bidi w:val="0"/>
              <w:rPr>
                <w:b/>
                <w:bCs/>
                <w:i/>
                <w:iCs/>
              </w:rPr>
            </w:pPr>
            <w:r w:rsidRPr="00475B8A">
              <w:rPr>
                <w:b/>
                <w:bCs/>
                <w:i/>
                <w:iCs/>
              </w:rPr>
              <w:t>Practical Exam</w:t>
            </w:r>
            <w:r>
              <w:rPr>
                <w:b/>
                <w:bCs/>
                <w:i/>
                <w:iCs/>
              </w:rPr>
              <w:t>s</w:t>
            </w:r>
          </w:p>
        </w:tc>
      </w:tr>
      <w:tr w:rsidR="008C7399" w:rsidRPr="00BB671F" w:rsidTr="008C7399">
        <w:trPr>
          <w:trHeight w:val="330"/>
        </w:trPr>
        <w:tc>
          <w:tcPr>
            <w:tcW w:w="1625" w:type="dxa"/>
          </w:tcPr>
          <w:p w:rsidR="008C7399" w:rsidRPr="00475B8A" w:rsidRDefault="008C7399" w:rsidP="008C7399">
            <w:pPr>
              <w:bidi w:val="0"/>
              <w:ind w:left="255"/>
              <w:rPr>
                <w:b/>
                <w:bCs/>
              </w:rPr>
            </w:pPr>
            <w:r w:rsidRPr="00475B8A">
              <w:rPr>
                <w:b/>
                <w:bCs/>
              </w:rPr>
              <w:t>15</w:t>
            </w:r>
            <w:r w:rsidRPr="00475B8A">
              <w:rPr>
                <w:b/>
                <w:bCs/>
                <w:vertAlign w:val="superscript"/>
              </w:rPr>
              <w:t>th</w:t>
            </w:r>
            <w:r w:rsidRPr="00475B8A">
              <w:rPr>
                <w:b/>
                <w:bCs/>
              </w:rPr>
              <w:t xml:space="preserve"> week</w:t>
            </w:r>
          </w:p>
        </w:tc>
        <w:tc>
          <w:tcPr>
            <w:tcW w:w="6891" w:type="dxa"/>
          </w:tcPr>
          <w:p w:rsidR="008C7399" w:rsidRPr="00475B8A" w:rsidRDefault="008C7399" w:rsidP="008C7399">
            <w:pPr>
              <w:bidi w:val="0"/>
            </w:pPr>
          </w:p>
        </w:tc>
      </w:tr>
      <w:tr w:rsidR="008C7399" w:rsidRPr="00BB671F" w:rsidTr="008C7399">
        <w:trPr>
          <w:trHeight w:val="330"/>
        </w:trPr>
        <w:tc>
          <w:tcPr>
            <w:tcW w:w="1625" w:type="dxa"/>
          </w:tcPr>
          <w:p w:rsidR="008C7399" w:rsidRPr="00475B8A" w:rsidRDefault="008C7399" w:rsidP="008C7399">
            <w:pPr>
              <w:bidi w:val="0"/>
              <w:ind w:left="255"/>
              <w:rPr>
                <w:b/>
                <w:bCs/>
                <w:color w:val="365F91"/>
              </w:rPr>
            </w:pPr>
            <w:r w:rsidRPr="00475B8A">
              <w:rPr>
                <w:b/>
                <w:bCs/>
              </w:rPr>
              <w:t>16</w:t>
            </w:r>
            <w:r w:rsidRPr="00475B8A">
              <w:rPr>
                <w:b/>
                <w:bCs/>
                <w:vertAlign w:val="superscript"/>
              </w:rPr>
              <w:t>th</w:t>
            </w:r>
            <w:r w:rsidRPr="00475B8A">
              <w:rPr>
                <w:b/>
                <w:bCs/>
              </w:rPr>
              <w:t xml:space="preserve"> week</w:t>
            </w:r>
          </w:p>
        </w:tc>
        <w:tc>
          <w:tcPr>
            <w:tcW w:w="6891" w:type="dxa"/>
          </w:tcPr>
          <w:p w:rsidR="008C7399" w:rsidRPr="00475B8A" w:rsidRDefault="008C7399" w:rsidP="008C7399">
            <w:pPr>
              <w:bidi w:val="0"/>
              <w:rPr>
                <w:color w:val="365F91"/>
              </w:rPr>
            </w:pPr>
          </w:p>
        </w:tc>
      </w:tr>
      <w:tr w:rsidR="008C7399" w:rsidRPr="00BB671F" w:rsidTr="008C7399">
        <w:trPr>
          <w:trHeight w:val="330"/>
        </w:trPr>
        <w:tc>
          <w:tcPr>
            <w:tcW w:w="1625" w:type="dxa"/>
          </w:tcPr>
          <w:p w:rsidR="008C7399" w:rsidRPr="00475B8A" w:rsidRDefault="008C7399" w:rsidP="008C7399">
            <w:pPr>
              <w:bidi w:val="0"/>
              <w:rPr>
                <w:b/>
                <w:bCs/>
                <w:i/>
                <w:iCs/>
              </w:rPr>
            </w:pPr>
            <w:r w:rsidRPr="00475B8A">
              <w:rPr>
                <w:b/>
                <w:bCs/>
                <w:i/>
                <w:iCs/>
              </w:rPr>
              <w:t>17</w:t>
            </w:r>
            <w:r w:rsidRPr="00475B8A">
              <w:rPr>
                <w:b/>
                <w:bCs/>
                <w:i/>
                <w:iCs/>
                <w:vertAlign w:val="superscript"/>
              </w:rPr>
              <w:t xml:space="preserve">th </w:t>
            </w:r>
            <w:r w:rsidRPr="00475B8A">
              <w:rPr>
                <w:b/>
                <w:bCs/>
                <w:i/>
                <w:iCs/>
              </w:rPr>
              <w:t>– 20</w:t>
            </w:r>
            <w:r w:rsidRPr="00475B8A">
              <w:rPr>
                <w:b/>
                <w:bCs/>
                <w:i/>
                <w:iCs/>
                <w:vertAlign w:val="superscript"/>
              </w:rPr>
              <w:t>th</w:t>
            </w:r>
            <w:r w:rsidRPr="00475B8A">
              <w:rPr>
                <w:b/>
                <w:bCs/>
                <w:i/>
                <w:iCs/>
              </w:rPr>
              <w:t xml:space="preserve"> </w:t>
            </w:r>
          </w:p>
        </w:tc>
        <w:tc>
          <w:tcPr>
            <w:tcW w:w="6891" w:type="dxa"/>
          </w:tcPr>
          <w:p w:rsidR="008C7399" w:rsidRPr="00475B8A" w:rsidRDefault="008C7399" w:rsidP="008C7399">
            <w:pPr>
              <w:bidi w:val="0"/>
              <w:rPr>
                <w:b/>
                <w:bCs/>
                <w:i/>
                <w:iCs/>
              </w:rPr>
            </w:pPr>
            <w:r w:rsidRPr="00475B8A">
              <w:rPr>
                <w:b/>
                <w:bCs/>
                <w:i/>
                <w:iCs/>
              </w:rPr>
              <w:t>Finals</w:t>
            </w:r>
          </w:p>
        </w:tc>
      </w:tr>
    </w:tbl>
    <w:p w:rsidR="008C7399" w:rsidRDefault="008C7399" w:rsidP="008C7399">
      <w:pPr>
        <w:jc w:val="right"/>
      </w:pPr>
      <w:r>
        <w:t>COURSE NUMBER: RHS 373.</w:t>
      </w:r>
      <w:r>
        <w:br/>
        <w:t>COURSE TITLE: Articulation Disorders</w:t>
      </w:r>
      <w:r>
        <w:br/>
        <w:t>CREDIT HOURS: Theory-2, Clinical – 1</w:t>
      </w:r>
      <w:r>
        <w:br/>
        <w:t>PREREQUISITE (S): None</w:t>
      </w:r>
      <w:r>
        <w:br/>
        <w:t>COURSE DESCRIPTION: Study for the nature of different types of speech disorders in children and adults. Also, to show the basic theories, assessment procedures, therapeutic methods and how to use them in planning and to apply treatment. Also, the course develops the skills to handle patient clinically.</w:t>
      </w:r>
    </w:p>
    <w:p w:rsidR="008C7399" w:rsidRDefault="008C7399" w:rsidP="008C7399">
      <w:pPr>
        <w:bidi w:val="0"/>
      </w:pPr>
    </w:p>
    <w:p w:rsidR="008C7399" w:rsidRDefault="008C7399" w:rsidP="008C7399">
      <w:pPr>
        <w:bidi w:val="0"/>
      </w:pPr>
    </w:p>
    <w:p w:rsidR="008C7399" w:rsidRDefault="008C7399" w:rsidP="008C7399">
      <w:pPr>
        <w:bidi w:val="0"/>
      </w:pPr>
    </w:p>
    <w:p w:rsidR="008C7399" w:rsidRDefault="008C7399" w:rsidP="008C7399">
      <w:pPr>
        <w:bidi w:val="0"/>
      </w:pPr>
    </w:p>
    <w:p w:rsidR="008C7399" w:rsidRDefault="008C7399" w:rsidP="008C7399">
      <w:pPr>
        <w:bidi w:val="0"/>
      </w:pPr>
    </w:p>
    <w:p w:rsidR="008C7399" w:rsidRDefault="008C7399" w:rsidP="008C7399">
      <w:pPr>
        <w:bidi w:val="0"/>
      </w:pPr>
    </w:p>
    <w:p w:rsidR="00A439B4" w:rsidRDefault="00A439B4" w:rsidP="008C7399">
      <w:pPr>
        <w:bidi w:val="0"/>
      </w:pPr>
      <w:r>
        <w:t>Mark Distribution:</w:t>
      </w:r>
    </w:p>
    <w:p w:rsidR="00A439B4" w:rsidRDefault="008C7399" w:rsidP="008C7399">
      <w:pPr>
        <w:pStyle w:val="ListParagraph"/>
        <w:numPr>
          <w:ilvl w:val="0"/>
          <w:numId w:val="1"/>
        </w:numPr>
        <w:bidi w:val="0"/>
      </w:pPr>
      <w:r>
        <w:t>Quiz (8</w:t>
      </w:r>
      <w:r w:rsidR="00A439B4">
        <w:t xml:space="preserve"> marks)</w:t>
      </w:r>
    </w:p>
    <w:p w:rsidR="00D1302B" w:rsidRDefault="00D1302B" w:rsidP="008C7399">
      <w:pPr>
        <w:pStyle w:val="ListParagraph"/>
        <w:numPr>
          <w:ilvl w:val="0"/>
          <w:numId w:val="1"/>
        </w:numPr>
        <w:bidi w:val="0"/>
      </w:pPr>
      <w:r>
        <w:t>Articulation test (5 marks)</w:t>
      </w:r>
    </w:p>
    <w:p w:rsidR="00DB0DB4" w:rsidRDefault="00DB0DB4" w:rsidP="008C7399">
      <w:pPr>
        <w:pStyle w:val="ListParagraph"/>
        <w:numPr>
          <w:ilvl w:val="0"/>
          <w:numId w:val="1"/>
        </w:numPr>
        <w:bidi w:val="0"/>
      </w:pPr>
      <w:r>
        <w:t>Case report (4 marks)</w:t>
      </w:r>
    </w:p>
    <w:p w:rsidR="008C7399" w:rsidRDefault="008C7399" w:rsidP="008C7399">
      <w:pPr>
        <w:pStyle w:val="ListParagraph"/>
        <w:numPr>
          <w:ilvl w:val="0"/>
          <w:numId w:val="1"/>
        </w:numPr>
        <w:bidi w:val="0"/>
      </w:pPr>
      <w:r>
        <w:t>Assignments (2 marks)</w:t>
      </w:r>
    </w:p>
    <w:p w:rsidR="00876D89" w:rsidRDefault="00D1302B" w:rsidP="008C7399">
      <w:pPr>
        <w:pStyle w:val="ListParagraph"/>
        <w:numPr>
          <w:ilvl w:val="0"/>
          <w:numId w:val="1"/>
        </w:numPr>
        <w:bidi w:val="0"/>
      </w:pPr>
      <w:r>
        <w:t>Class participation (1 mark)</w:t>
      </w:r>
    </w:p>
    <w:p w:rsidR="008C7399" w:rsidRDefault="008C7399" w:rsidP="008C7399">
      <w:pPr>
        <w:pStyle w:val="ListParagraph"/>
        <w:numPr>
          <w:ilvl w:val="0"/>
          <w:numId w:val="1"/>
        </w:numPr>
        <w:bidi w:val="0"/>
      </w:pPr>
      <w:r>
        <w:t>Bonus (1 mark)</w:t>
      </w:r>
    </w:p>
    <w:sectPr w:rsidR="008C7399" w:rsidSect="00876D89">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9387C"/>
    <w:multiLevelType w:val="hybridMultilevel"/>
    <w:tmpl w:val="0D524D92"/>
    <w:lvl w:ilvl="0" w:tplc="2CE6D8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D89"/>
    <w:rsid w:val="00165F7A"/>
    <w:rsid w:val="0032383C"/>
    <w:rsid w:val="004C56CA"/>
    <w:rsid w:val="00876D89"/>
    <w:rsid w:val="008C7399"/>
    <w:rsid w:val="00A439B4"/>
    <w:rsid w:val="00D1302B"/>
    <w:rsid w:val="00DB0DB4"/>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D89"/>
    <w:pPr>
      <w:bidi/>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9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D89"/>
    <w:pPr>
      <w:bidi/>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9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A30FAC-23D3-43D1-BAFA-8D2364BB2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169</Words>
  <Characters>964</Characters>
  <Application>Microsoft Office Word</Application>
  <DocSecurity>0</DocSecurity>
  <Lines>8</Lines>
  <Paragraphs>2</Paragraphs>
  <ScaleCrop>false</ScaleCrop>
  <Company>My Company Name</Company>
  <LinksUpToDate>false</LinksUpToDate>
  <CharactersWithSpaces>1131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MacBook</dc:creator>
  <cp:lastModifiedBy>Reema</cp:lastModifiedBy>
  <cp:revision>2</cp:revision>
  <dcterms:created xsi:type="dcterms:W3CDTF">2012-07-06T10:58:00Z</dcterms:created>
  <dcterms:modified xsi:type="dcterms:W3CDTF">2012-07-06T10:58:00Z</dcterms:modified>
</cp:coreProperties>
</file>