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B6" w:rsidRDefault="00AB25B6" w:rsidP="00EB1E2D">
      <w:pPr>
        <w:rPr>
          <w:rFonts w:ascii="Calibri" w:hAnsi="Calibri" w:cstheme="majorBidi"/>
          <w:b/>
          <w:bCs/>
          <w:sz w:val="28"/>
          <w:szCs w:val="28"/>
        </w:rPr>
      </w:pPr>
      <w:bookmarkStart w:id="0" w:name="_GoBack"/>
      <w:bookmarkEnd w:id="0"/>
    </w:p>
    <w:p w:rsidR="000863E1" w:rsidRPr="00B1617E" w:rsidRDefault="000863E1" w:rsidP="000863E1">
      <w:pPr>
        <w:jc w:val="center"/>
        <w:rPr>
          <w:rFonts w:ascii="Calibri" w:hAnsi="Calibri" w:cstheme="majorBidi"/>
          <w:b/>
          <w:bCs/>
          <w:sz w:val="28"/>
          <w:szCs w:val="28"/>
        </w:rPr>
      </w:pPr>
      <w:r>
        <w:rPr>
          <w:rFonts w:ascii="Calibri" w:hAnsi="Calibri" w:cstheme="majorBidi"/>
          <w:b/>
          <w:bCs/>
          <w:sz w:val="28"/>
          <w:szCs w:val="28"/>
        </w:rPr>
        <w:t>C</w:t>
      </w:r>
      <w:r w:rsidRPr="00B1617E">
        <w:rPr>
          <w:rFonts w:ascii="Calibri" w:hAnsi="Calibri" w:cstheme="majorBidi"/>
          <w:b/>
          <w:bCs/>
          <w:sz w:val="28"/>
          <w:szCs w:val="28"/>
        </w:rPr>
        <w:t>-Determination of protein by Biuret Method:</w:t>
      </w:r>
    </w:p>
    <w:p w:rsidR="000863E1" w:rsidRDefault="000863E1" w:rsidP="000863E1">
      <w:pPr>
        <w:rPr>
          <w:rFonts w:ascii="Calibri" w:hAnsi="Calibri" w:cstheme="majorBidi"/>
          <w:b/>
          <w:bCs/>
          <w:sz w:val="24"/>
          <w:szCs w:val="24"/>
        </w:rPr>
      </w:pPr>
      <w:r w:rsidRPr="00880DA3">
        <w:rPr>
          <w:rFonts w:ascii="Calibri" w:hAnsi="Calibri" w:cstheme="majorBidi"/>
          <w:b/>
          <w:bCs/>
          <w:sz w:val="24"/>
          <w:szCs w:val="24"/>
        </w:rPr>
        <w:t>Standard stock of bovine serum albumin[BSA]=5g/l.</w:t>
      </w:r>
    </w:p>
    <w:p w:rsidR="000863E1" w:rsidRPr="00B1617E" w:rsidRDefault="000863E1" w:rsidP="000863E1">
      <w:pPr>
        <w:rPr>
          <w:rFonts w:ascii="Calibri" w:hAnsi="Calibr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96"/>
        <w:gridCol w:w="1501"/>
        <w:gridCol w:w="1497"/>
        <w:gridCol w:w="1511"/>
        <w:gridCol w:w="1516"/>
        <w:gridCol w:w="1495"/>
      </w:tblGrid>
      <w:tr w:rsidR="000863E1" w:rsidRPr="002E43C6" w:rsidTr="00A02C4F">
        <w:trPr>
          <w:jc w:val="center"/>
        </w:trPr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d.H2O</w:t>
            </w:r>
          </w:p>
        </w:tc>
        <w:tc>
          <w:tcPr>
            <w:tcW w:w="1549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proofErr w:type="spellStart"/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Std.of</w:t>
            </w:r>
            <w:proofErr w:type="spellEnd"/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 xml:space="preserve"> BSA</w:t>
            </w:r>
          </w:p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[5g/l]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Biuret reagent</w:t>
            </w:r>
          </w:p>
        </w:tc>
        <w:tc>
          <w:tcPr>
            <w:tcW w:w="1550" w:type="dxa"/>
            <w:vMerge w:val="restart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</w:p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</w:p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</w:p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Incubate for 10 mins.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Conc. [g/l]</w:t>
            </w:r>
          </w:p>
        </w:tc>
      </w:tr>
      <w:tr w:rsidR="000863E1" w:rsidRPr="002E43C6" w:rsidTr="00A02C4F">
        <w:trPr>
          <w:jc w:val="center"/>
        </w:trPr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Blank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2</w:t>
            </w:r>
          </w:p>
        </w:tc>
        <w:tc>
          <w:tcPr>
            <w:tcW w:w="1549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-</w:t>
            </w:r>
          </w:p>
        </w:tc>
        <w:tc>
          <w:tcPr>
            <w:tcW w:w="1550" w:type="dxa"/>
            <w:vMerge w:val="restart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3 ml</w:t>
            </w: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0</w:t>
            </w:r>
          </w:p>
        </w:tc>
      </w:tr>
      <w:tr w:rsidR="000863E1" w:rsidRPr="002E43C6" w:rsidTr="00A02C4F">
        <w:trPr>
          <w:jc w:val="center"/>
        </w:trPr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1.6</w:t>
            </w:r>
          </w:p>
        </w:tc>
        <w:tc>
          <w:tcPr>
            <w:tcW w:w="1549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0.4</w:t>
            </w: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1</w:t>
            </w:r>
          </w:p>
        </w:tc>
      </w:tr>
      <w:tr w:rsidR="000863E1" w:rsidRPr="002E43C6" w:rsidTr="00A02C4F">
        <w:trPr>
          <w:jc w:val="center"/>
        </w:trPr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1.2</w:t>
            </w:r>
          </w:p>
        </w:tc>
        <w:tc>
          <w:tcPr>
            <w:tcW w:w="1549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0.8</w:t>
            </w: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2</w:t>
            </w:r>
          </w:p>
        </w:tc>
      </w:tr>
      <w:tr w:rsidR="000863E1" w:rsidRPr="002E43C6" w:rsidTr="00A02C4F">
        <w:trPr>
          <w:jc w:val="center"/>
        </w:trPr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1</w:t>
            </w:r>
          </w:p>
        </w:tc>
        <w:tc>
          <w:tcPr>
            <w:tcW w:w="1549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1</w:t>
            </w: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2.5</w:t>
            </w:r>
          </w:p>
        </w:tc>
      </w:tr>
      <w:tr w:rsidR="000863E1" w:rsidRPr="002E43C6" w:rsidTr="00A02C4F">
        <w:trPr>
          <w:jc w:val="center"/>
        </w:trPr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0.8</w:t>
            </w:r>
          </w:p>
        </w:tc>
        <w:tc>
          <w:tcPr>
            <w:tcW w:w="1549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1.2</w:t>
            </w: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3</w:t>
            </w:r>
          </w:p>
        </w:tc>
      </w:tr>
      <w:tr w:rsidR="000863E1" w:rsidRPr="002E43C6" w:rsidTr="00A02C4F">
        <w:trPr>
          <w:jc w:val="center"/>
        </w:trPr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0.6</w:t>
            </w:r>
          </w:p>
        </w:tc>
        <w:tc>
          <w:tcPr>
            <w:tcW w:w="1549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1.4</w:t>
            </w: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3.5</w:t>
            </w:r>
          </w:p>
        </w:tc>
      </w:tr>
      <w:tr w:rsidR="000863E1" w:rsidRPr="002E43C6" w:rsidTr="00A02C4F">
        <w:trPr>
          <w:jc w:val="center"/>
        </w:trPr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0.4</w:t>
            </w:r>
          </w:p>
        </w:tc>
        <w:tc>
          <w:tcPr>
            <w:tcW w:w="1549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1.6</w:t>
            </w: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  <w:vMerge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  <w:tc>
          <w:tcPr>
            <w:tcW w:w="1550" w:type="dxa"/>
          </w:tcPr>
          <w:p w:rsidR="000863E1" w:rsidRPr="00880DA3" w:rsidRDefault="000863E1" w:rsidP="00A02C4F">
            <w:pPr>
              <w:spacing w:line="276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4</w:t>
            </w:r>
          </w:p>
        </w:tc>
      </w:tr>
    </w:tbl>
    <w:tbl>
      <w:tblPr>
        <w:tblStyle w:val="TableGrid"/>
        <w:tblpPr w:leftFromText="180" w:rightFromText="180" w:vertAnchor="text" w:horzAnchor="margin" w:tblpY="403"/>
        <w:tblW w:w="0" w:type="auto"/>
        <w:tblLook w:val="04A0" w:firstRow="1" w:lastRow="0" w:firstColumn="1" w:lastColumn="0" w:noHBand="0" w:noVBand="1"/>
      </w:tblPr>
      <w:tblGrid>
        <w:gridCol w:w="2269"/>
        <w:gridCol w:w="2269"/>
      </w:tblGrid>
      <w:tr w:rsidR="000863E1" w:rsidRPr="002E43C6" w:rsidTr="00A02C4F">
        <w:trPr>
          <w:trHeight w:val="496"/>
        </w:trPr>
        <w:tc>
          <w:tcPr>
            <w:tcW w:w="4538" w:type="dxa"/>
            <w:gridSpan w:val="2"/>
          </w:tcPr>
          <w:p w:rsidR="000863E1" w:rsidRPr="002E43C6" w:rsidRDefault="000863E1" w:rsidP="00A02C4F">
            <w:pPr>
              <w:jc w:val="center"/>
              <w:rPr>
                <w:rFonts w:ascii="Calibri" w:hAnsi="Calibri" w:cstheme="majorBidi"/>
                <w:b/>
                <w:bCs/>
              </w:rPr>
            </w:pPr>
            <w:r w:rsidRPr="002E43C6">
              <w:rPr>
                <w:rFonts w:ascii="Calibri" w:hAnsi="Calibri" w:cstheme="majorBidi"/>
                <w:b/>
                <w:bCs/>
              </w:rPr>
              <w:t xml:space="preserve">Tube 8 </w:t>
            </w:r>
            <w:r>
              <w:rPr>
                <w:rFonts w:ascii="Calibri" w:hAnsi="Calibri" w:cstheme="majorBidi"/>
                <w:b/>
                <w:bCs/>
              </w:rPr>
              <w:t>[supernatant]</w:t>
            </w:r>
          </w:p>
        </w:tc>
      </w:tr>
      <w:tr w:rsidR="000863E1" w:rsidRPr="002E43C6" w:rsidTr="00A02C4F">
        <w:trPr>
          <w:trHeight w:val="496"/>
        </w:trPr>
        <w:tc>
          <w:tcPr>
            <w:tcW w:w="2269" w:type="dxa"/>
          </w:tcPr>
          <w:p w:rsidR="000863E1" w:rsidRPr="002E43C6" w:rsidRDefault="000863E1" w:rsidP="00A02C4F">
            <w:pPr>
              <w:jc w:val="center"/>
              <w:rPr>
                <w:rFonts w:ascii="Calibri" w:hAnsi="Calibri" w:cstheme="majorBidi"/>
                <w:b/>
                <w:bCs/>
              </w:rPr>
            </w:pPr>
            <w:r w:rsidRPr="002E43C6">
              <w:rPr>
                <w:rFonts w:ascii="Calibri" w:hAnsi="Calibri" w:cstheme="majorBidi"/>
                <w:b/>
                <w:bCs/>
              </w:rPr>
              <w:t xml:space="preserve">supernatant </w:t>
            </w:r>
          </w:p>
        </w:tc>
        <w:tc>
          <w:tcPr>
            <w:tcW w:w="2269" w:type="dxa"/>
          </w:tcPr>
          <w:p w:rsidR="000863E1" w:rsidRPr="002E43C6" w:rsidRDefault="000863E1" w:rsidP="00A02C4F">
            <w:pPr>
              <w:jc w:val="center"/>
              <w:rPr>
                <w:rFonts w:ascii="Calibri" w:hAnsi="Calibri" w:cstheme="majorBidi"/>
              </w:rPr>
            </w:pPr>
            <w:r w:rsidRPr="002E43C6">
              <w:rPr>
                <w:rFonts w:ascii="Calibri" w:hAnsi="Calibri" w:cstheme="majorBidi"/>
              </w:rPr>
              <w:t>2 ml</w:t>
            </w:r>
          </w:p>
        </w:tc>
      </w:tr>
    </w:tbl>
    <w:tbl>
      <w:tblPr>
        <w:tblStyle w:val="TableGrid"/>
        <w:tblpPr w:leftFromText="180" w:rightFromText="180" w:vertAnchor="text" w:horzAnchor="page" w:tblpX="7183" w:tblpY="463"/>
        <w:tblW w:w="2894" w:type="dxa"/>
        <w:tblLook w:val="04A0" w:firstRow="1" w:lastRow="0" w:firstColumn="1" w:lastColumn="0" w:noHBand="0" w:noVBand="1"/>
      </w:tblPr>
      <w:tblGrid>
        <w:gridCol w:w="1912"/>
        <w:gridCol w:w="982"/>
      </w:tblGrid>
      <w:tr w:rsidR="000863E1" w:rsidRPr="002E43C6" w:rsidTr="00A02C4F">
        <w:trPr>
          <w:trHeight w:val="467"/>
        </w:trPr>
        <w:tc>
          <w:tcPr>
            <w:tcW w:w="2894" w:type="dxa"/>
            <w:gridSpan w:val="2"/>
          </w:tcPr>
          <w:p w:rsidR="000863E1" w:rsidRPr="002E43C6" w:rsidRDefault="000863E1" w:rsidP="00A02C4F">
            <w:pPr>
              <w:jc w:val="center"/>
              <w:rPr>
                <w:rFonts w:ascii="Calibri" w:hAnsi="Calibri" w:cstheme="majorBidi"/>
                <w:b/>
                <w:bCs/>
              </w:rPr>
            </w:pPr>
            <w:r w:rsidRPr="002E43C6">
              <w:rPr>
                <w:rFonts w:ascii="Calibri" w:hAnsi="Calibri" w:cstheme="majorBidi"/>
                <w:b/>
                <w:bCs/>
              </w:rPr>
              <w:t>Tube 7 sample</w:t>
            </w:r>
            <w:r>
              <w:rPr>
                <w:rFonts w:ascii="Calibri" w:hAnsi="Calibri" w:cstheme="majorBidi"/>
                <w:b/>
                <w:bCs/>
              </w:rPr>
              <w:t xml:space="preserve"> with </w:t>
            </w:r>
            <w:proofErr w:type="spellStart"/>
            <w:r w:rsidRPr="002E43C6">
              <w:rPr>
                <w:rFonts w:ascii="Calibri" w:hAnsi="Calibri" w:cstheme="majorBidi"/>
                <w:b/>
                <w:bCs/>
              </w:rPr>
              <w:t>re</w:t>
            </w:r>
            <w:r>
              <w:rPr>
                <w:rFonts w:ascii="Calibri" w:hAnsi="Calibri" w:cstheme="majorBidi"/>
                <w:b/>
                <w:bCs/>
              </w:rPr>
              <w:t>suspended</w:t>
            </w:r>
            <w:proofErr w:type="spellEnd"/>
            <w:r>
              <w:rPr>
                <w:rFonts w:ascii="Calibri" w:hAnsi="Calibri" w:cstheme="majorBidi"/>
                <w:b/>
                <w:bCs/>
              </w:rPr>
              <w:t xml:space="preserve"> pellet </w:t>
            </w:r>
          </w:p>
        </w:tc>
      </w:tr>
      <w:tr w:rsidR="000863E1" w:rsidRPr="002E43C6" w:rsidTr="00A02C4F">
        <w:trPr>
          <w:trHeight w:val="467"/>
        </w:trPr>
        <w:tc>
          <w:tcPr>
            <w:tcW w:w="1912" w:type="dxa"/>
          </w:tcPr>
          <w:p w:rsidR="000863E1" w:rsidRPr="002E43C6" w:rsidRDefault="000863E1" w:rsidP="00A02C4F">
            <w:pPr>
              <w:jc w:val="center"/>
              <w:rPr>
                <w:rFonts w:ascii="Calibri" w:hAnsi="Calibri" w:cstheme="majorBidi"/>
                <w:b/>
                <w:bCs/>
              </w:rPr>
            </w:pPr>
            <w:proofErr w:type="spellStart"/>
            <w:r w:rsidRPr="002E43C6">
              <w:rPr>
                <w:rFonts w:ascii="Calibri" w:hAnsi="Calibri" w:cstheme="majorBidi"/>
                <w:b/>
                <w:bCs/>
              </w:rPr>
              <w:t>resuspended</w:t>
            </w:r>
            <w:proofErr w:type="spellEnd"/>
          </w:p>
        </w:tc>
        <w:tc>
          <w:tcPr>
            <w:tcW w:w="982" w:type="dxa"/>
          </w:tcPr>
          <w:p w:rsidR="000863E1" w:rsidRPr="002E43C6" w:rsidRDefault="000863E1" w:rsidP="00A02C4F">
            <w:pPr>
              <w:jc w:val="center"/>
              <w:rPr>
                <w:rFonts w:ascii="Calibri" w:hAnsi="Calibri" w:cstheme="majorBidi"/>
              </w:rPr>
            </w:pPr>
            <w:r w:rsidRPr="002E43C6">
              <w:rPr>
                <w:rFonts w:ascii="Calibri" w:hAnsi="Calibri" w:cstheme="majorBidi"/>
              </w:rPr>
              <w:t>2 ml</w:t>
            </w:r>
          </w:p>
        </w:tc>
      </w:tr>
    </w:tbl>
    <w:p w:rsidR="000863E1" w:rsidRPr="002E43C6" w:rsidRDefault="000863E1" w:rsidP="000863E1">
      <w:pPr>
        <w:rPr>
          <w:rFonts w:ascii="Calibri" w:hAnsi="Calibri" w:cstheme="majorBidi"/>
          <w:b/>
          <w:bCs/>
        </w:rPr>
      </w:pPr>
    </w:p>
    <w:p w:rsidR="000863E1" w:rsidRPr="002E43C6" w:rsidRDefault="000863E1" w:rsidP="000863E1">
      <w:pPr>
        <w:rPr>
          <w:rFonts w:ascii="Calibri" w:hAnsi="Calibri" w:cstheme="majorBidi"/>
          <w:b/>
          <w:bCs/>
        </w:rPr>
      </w:pPr>
    </w:p>
    <w:p w:rsidR="000863E1" w:rsidRDefault="000863E1" w:rsidP="000863E1">
      <w:pPr>
        <w:rPr>
          <w:rFonts w:ascii="Calibri" w:hAnsi="Calibri" w:cstheme="majorBidi"/>
        </w:rPr>
      </w:pPr>
    </w:p>
    <w:p w:rsidR="000863E1" w:rsidRDefault="000863E1" w:rsidP="000863E1">
      <w:pPr>
        <w:rPr>
          <w:rFonts w:ascii="Calibri" w:hAnsi="Calibri" w:cstheme="majorBidi"/>
        </w:rPr>
      </w:pPr>
      <w:r w:rsidRPr="002E43C6">
        <w:rPr>
          <w:rFonts w:ascii="Calibri" w:hAnsi="Calibri" w:cstheme="majorBidi"/>
        </w:rPr>
        <w:t>-Add 3 ml of biuret reagent to tubes 7 and 8</w:t>
      </w:r>
      <w:r>
        <w:rPr>
          <w:rFonts w:ascii="Calibri" w:hAnsi="Calibri" w:cstheme="majorBidi"/>
        </w:rPr>
        <w:t>,</w:t>
      </w:r>
      <w:r w:rsidRPr="002E43C6">
        <w:rPr>
          <w:rFonts w:ascii="Calibri" w:hAnsi="Calibri" w:cstheme="majorBidi"/>
        </w:rPr>
        <w:t xml:space="preserve"> </w:t>
      </w:r>
      <w:proofErr w:type="gramStart"/>
      <w:r w:rsidRPr="002E43C6">
        <w:rPr>
          <w:rFonts w:ascii="Calibri" w:hAnsi="Calibri" w:cstheme="majorBidi"/>
        </w:rPr>
        <w:t>then  incubate</w:t>
      </w:r>
      <w:proofErr w:type="gramEnd"/>
      <w:r w:rsidRPr="002E43C6">
        <w:rPr>
          <w:rFonts w:ascii="Calibri" w:hAnsi="Calibri" w:cstheme="majorBidi"/>
        </w:rPr>
        <w:t xml:space="preserve"> for 10 mins.</w:t>
      </w:r>
    </w:p>
    <w:p w:rsidR="000863E1" w:rsidRPr="002E43C6" w:rsidRDefault="000863E1" w:rsidP="000863E1">
      <w:pPr>
        <w:rPr>
          <w:rFonts w:ascii="Calibri" w:hAnsi="Calibri" w:cstheme="majorBidi"/>
        </w:rPr>
      </w:pPr>
      <w:r w:rsidRPr="002E43C6">
        <w:rPr>
          <w:rFonts w:ascii="Calibri" w:hAnsi="Calibri" w:cstheme="majorBidi"/>
        </w:rPr>
        <w:t xml:space="preserve">- read at 540 nm. </w:t>
      </w:r>
    </w:p>
    <w:p w:rsidR="000863E1" w:rsidRDefault="000863E1" w:rsidP="000863E1">
      <w:pPr>
        <w:autoSpaceDE w:val="0"/>
        <w:autoSpaceDN w:val="0"/>
        <w:adjustRightInd w:val="0"/>
        <w:spacing w:after="0" w:line="240" w:lineRule="auto"/>
        <w:rPr>
          <w:rFonts w:ascii="Calibri" w:hAnsi="Calibri" w:cstheme="majorBidi"/>
        </w:rPr>
      </w:pPr>
      <w:r w:rsidRPr="002E43C6">
        <w:rPr>
          <w:rFonts w:ascii="Calibri" w:hAnsi="Calibri" w:cstheme="majorBidi"/>
        </w:rPr>
        <w:t>-Prepare a standard graph using BSA[5g/l].</w:t>
      </w:r>
    </w:p>
    <w:p w:rsidR="000863E1" w:rsidRPr="002E43C6" w:rsidRDefault="000863E1" w:rsidP="000863E1">
      <w:pPr>
        <w:autoSpaceDE w:val="0"/>
        <w:autoSpaceDN w:val="0"/>
        <w:adjustRightInd w:val="0"/>
        <w:spacing w:after="0" w:line="240" w:lineRule="auto"/>
        <w:rPr>
          <w:rFonts w:ascii="Calibri" w:hAnsi="Calibri" w:cstheme="majorBidi"/>
        </w:rPr>
      </w:pPr>
    </w:p>
    <w:p w:rsidR="000863E1" w:rsidRPr="002E43C6" w:rsidRDefault="000863E1" w:rsidP="000863E1">
      <w:pPr>
        <w:rPr>
          <w:rFonts w:ascii="Calibri" w:hAnsi="Calibri" w:cstheme="majorBidi"/>
        </w:rPr>
      </w:pPr>
      <w:r w:rsidRPr="002E43C6">
        <w:rPr>
          <w:rFonts w:ascii="Calibri" w:hAnsi="Calibri" w:cstheme="majorBidi"/>
        </w:rPr>
        <w:t xml:space="preserve">-Calculate the protein concentration of tube 7 and </w:t>
      </w:r>
      <w:proofErr w:type="gramStart"/>
      <w:r w:rsidRPr="002E43C6">
        <w:rPr>
          <w:rFonts w:ascii="Calibri" w:hAnsi="Calibri" w:cstheme="majorBidi"/>
        </w:rPr>
        <w:t>8  from</w:t>
      </w:r>
      <w:proofErr w:type="gramEnd"/>
      <w:r w:rsidRPr="002E43C6">
        <w:rPr>
          <w:rFonts w:ascii="Calibri" w:hAnsi="Calibri" w:cstheme="majorBidi"/>
        </w:rPr>
        <w:t xml:space="preserve"> the standard graph.</w:t>
      </w:r>
    </w:p>
    <w:p w:rsidR="000863E1" w:rsidRPr="002E43C6" w:rsidRDefault="000863E1" w:rsidP="000863E1">
      <w:pPr>
        <w:rPr>
          <w:rFonts w:ascii="Calibri" w:hAnsi="Calibri" w:cstheme="majorBidi"/>
          <w:b/>
          <w:bCs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06"/>
        <w:gridCol w:w="1398"/>
        <w:gridCol w:w="2187"/>
      </w:tblGrid>
      <w:tr w:rsidR="000863E1" w:rsidRPr="002E43C6" w:rsidTr="00A02C4F">
        <w:trPr>
          <w:trHeight w:val="382"/>
          <w:jc w:val="center"/>
        </w:trPr>
        <w:tc>
          <w:tcPr>
            <w:tcW w:w="3106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1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Absorbance at 540 nm</w:t>
            </w:r>
          </w:p>
        </w:tc>
        <w:tc>
          <w:tcPr>
            <w:tcW w:w="2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>
              <w:rPr>
                <w:rFonts w:ascii="Calibri" w:hAnsi="Calibri" w:cstheme="majorBidi"/>
                <w:b/>
                <w:bCs/>
                <w:sz w:val="24"/>
                <w:szCs w:val="24"/>
              </w:rPr>
              <w:t xml:space="preserve">Conc. of BSA </w:t>
            </w:r>
          </w:p>
        </w:tc>
      </w:tr>
      <w:tr w:rsidR="000863E1" w:rsidRPr="002E43C6" w:rsidTr="00A02C4F">
        <w:trPr>
          <w:trHeight w:val="382"/>
          <w:jc w:val="center"/>
        </w:trPr>
        <w:tc>
          <w:tcPr>
            <w:tcW w:w="3106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7" w:type="dxa"/>
          </w:tcPr>
          <w:p w:rsidR="000863E1" w:rsidRPr="002E43C6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</w:tr>
      <w:tr w:rsidR="000863E1" w:rsidRPr="002E43C6" w:rsidTr="00A02C4F">
        <w:trPr>
          <w:trHeight w:val="382"/>
          <w:jc w:val="center"/>
        </w:trPr>
        <w:tc>
          <w:tcPr>
            <w:tcW w:w="3106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7" w:type="dxa"/>
          </w:tcPr>
          <w:p w:rsidR="000863E1" w:rsidRPr="002E43C6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</w:tr>
      <w:tr w:rsidR="000863E1" w:rsidRPr="002E43C6" w:rsidTr="00A02C4F">
        <w:trPr>
          <w:trHeight w:val="382"/>
          <w:jc w:val="center"/>
        </w:trPr>
        <w:tc>
          <w:tcPr>
            <w:tcW w:w="3106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87" w:type="dxa"/>
          </w:tcPr>
          <w:p w:rsidR="000863E1" w:rsidRPr="002E43C6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</w:tr>
      <w:tr w:rsidR="000863E1" w:rsidRPr="002E43C6" w:rsidTr="00A02C4F">
        <w:trPr>
          <w:trHeight w:val="382"/>
          <w:jc w:val="center"/>
        </w:trPr>
        <w:tc>
          <w:tcPr>
            <w:tcW w:w="3106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87" w:type="dxa"/>
          </w:tcPr>
          <w:p w:rsidR="000863E1" w:rsidRPr="002E43C6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</w:tr>
      <w:tr w:rsidR="000863E1" w:rsidRPr="002E43C6" w:rsidTr="00A02C4F">
        <w:trPr>
          <w:trHeight w:val="382"/>
          <w:jc w:val="center"/>
        </w:trPr>
        <w:tc>
          <w:tcPr>
            <w:tcW w:w="3106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87" w:type="dxa"/>
          </w:tcPr>
          <w:p w:rsidR="000863E1" w:rsidRPr="002E43C6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</w:tr>
      <w:tr w:rsidR="000863E1" w:rsidRPr="002E43C6" w:rsidTr="00A02C4F">
        <w:trPr>
          <w:trHeight w:val="382"/>
          <w:jc w:val="center"/>
        </w:trPr>
        <w:tc>
          <w:tcPr>
            <w:tcW w:w="3106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87" w:type="dxa"/>
          </w:tcPr>
          <w:p w:rsidR="000863E1" w:rsidRPr="002E43C6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</w:p>
        </w:tc>
      </w:tr>
      <w:tr w:rsidR="000863E1" w:rsidRPr="002E43C6" w:rsidTr="00A02C4F">
        <w:trPr>
          <w:trHeight w:val="556"/>
          <w:jc w:val="center"/>
        </w:trPr>
        <w:tc>
          <w:tcPr>
            <w:tcW w:w="3106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t>7</w:t>
            </w:r>
            <w:r>
              <w:rPr>
                <w:rFonts w:ascii="Calibri" w:hAnsi="Calibri" w:cstheme="majorBidi"/>
                <w:b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Calibri" w:hAnsi="Calibri" w:cstheme="majorBidi"/>
                <w:b/>
                <w:bCs/>
                <w:sz w:val="24"/>
                <w:szCs w:val="24"/>
              </w:rPr>
              <w:t>Resuspended</w:t>
            </w:r>
            <w:proofErr w:type="spellEnd"/>
            <w:r>
              <w:rPr>
                <w:rFonts w:ascii="Calibri" w:hAnsi="Calibri" w:cstheme="majorBid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theme="majorBidi"/>
                <w:b/>
                <w:bCs/>
                <w:sz w:val="24"/>
                <w:szCs w:val="24"/>
              </w:rPr>
              <w:t>pellete</w:t>
            </w:r>
            <w:proofErr w:type="spellEnd"/>
            <w:r>
              <w:rPr>
                <w:rFonts w:ascii="Calibri" w:hAnsi="Calibri" w:cstheme="majorBid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87" w:type="dxa"/>
          </w:tcPr>
          <w:p w:rsidR="000863E1" w:rsidRPr="002E43C6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……….?</w:t>
            </w:r>
          </w:p>
        </w:tc>
      </w:tr>
      <w:tr w:rsidR="000863E1" w:rsidRPr="002E43C6" w:rsidTr="00A02C4F">
        <w:trPr>
          <w:trHeight w:val="765"/>
          <w:jc w:val="center"/>
        </w:trPr>
        <w:tc>
          <w:tcPr>
            <w:tcW w:w="3106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b/>
                <w:bCs/>
                <w:sz w:val="24"/>
                <w:szCs w:val="24"/>
              </w:rPr>
              <w:lastRenderedPageBreak/>
              <w:t>8</w:t>
            </w:r>
            <w:r>
              <w:rPr>
                <w:rFonts w:ascii="Calibri" w:hAnsi="Calibri" w:cstheme="majorBidi"/>
                <w:b/>
                <w:bCs/>
                <w:sz w:val="24"/>
                <w:szCs w:val="24"/>
              </w:rPr>
              <w:t xml:space="preserve"> (Supernatant)</w:t>
            </w:r>
          </w:p>
        </w:tc>
        <w:tc>
          <w:tcPr>
            <w:tcW w:w="1187" w:type="dxa"/>
          </w:tcPr>
          <w:p w:rsidR="000863E1" w:rsidRPr="002E43C6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b/>
                <w:bCs/>
              </w:rPr>
            </w:pPr>
          </w:p>
        </w:tc>
        <w:tc>
          <w:tcPr>
            <w:tcW w:w="2187" w:type="dxa"/>
          </w:tcPr>
          <w:p w:rsidR="000863E1" w:rsidRPr="00880DA3" w:rsidRDefault="000863E1" w:rsidP="00A02C4F">
            <w:pPr>
              <w:spacing w:line="360" w:lineRule="auto"/>
              <w:jc w:val="center"/>
              <w:rPr>
                <w:rFonts w:ascii="Calibri" w:hAnsi="Calibri" w:cstheme="majorBidi"/>
                <w:sz w:val="24"/>
                <w:szCs w:val="24"/>
              </w:rPr>
            </w:pPr>
            <w:r w:rsidRPr="00880DA3">
              <w:rPr>
                <w:rFonts w:ascii="Calibri" w:hAnsi="Calibri" w:cstheme="majorBidi"/>
                <w:sz w:val="24"/>
                <w:szCs w:val="24"/>
              </w:rPr>
              <w:t>……….?</w:t>
            </w:r>
          </w:p>
        </w:tc>
      </w:tr>
    </w:tbl>
    <w:p w:rsidR="000863E1" w:rsidRPr="000863E1" w:rsidRDefault="000863E1" w:rsidP="000863E1">
      <w:pPr>
        <w:pStyle w:val="ListParagraph"/>
        <w:numPr>
          <w:ilvl w:val="0"/>
          <w:numId w:val="5"/>
        </w:numPr>
        <w:spacing w:after="200" w:line="276" w:lineRule="auto"/>
        <w:rPr>
          <w:rFonts w:ascii="Calibri" w:hAnsi="Calibri" w:cstheme="majorBidi"/>
          <w:b/>
          <w:bCs/>
        </w:rPr>
      </w:pPr>
      <w:r w:rsidRPr="00D06C84">
        <w:rPr>
          <w:rFonts w:ascii="Calibri" w:hAnsi="Calibri" w:cstheme="majorBidi"/>
          <w:b/>
          <w:bCs/>
        </w:rPr>
        <w:t xml:space="preserve">Notice the absorbance of your sample, </w:t>
      </w:r>
      <w:proofErr w:type="gramStart"/>
      <w:r w:rsidRPr="00D06C84">
        <w:rPr>
          <w:rFonts w:ascii="Calibri" w:hAnsi="Calibri" w:cstheme="majorBidi"/>
          <w:b/>
          <w:bCs/>
        </w:rPr>
        <w:t>If</w:t>
      </w:r>
      <w:proofErr w:type="gramEnd"/>
      <w:r w:rsidRPr="00D06C84">
        <w:rPr>
          <w:rFonts w:ascii="Calibri" w:hAnsi="Calibri" w:cstheme="majorBidi"/>
          <w:b/>
          <w:bCs/>
        </w:rPr>
        <w:t xml:space="preserve"> it was high what should you do?</w:t>
      </w:r>
    </w:p>
    <w:sectPr w:rsidR="000863E1" w:rsidRPr="000863E1" w:rsidSect="000863E1">
      <w:pgSz w:w="11906" w:h="16838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F5D82"/>
    <w:multiLevelType w:val="hybridMultilevel"/>
    <w:tmpl w:val="10003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3E3ED8"/>
    <w:multiLevelType w:val="hybridMultilevel"/>
    <w:tmpl w:val="12E06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A56E2"/>
    <w:multiLevelType w:val="hybridMultilevel"/>
    <w:tmpl w:val="BD3C5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544CC"/>
    <w:multiLevelType w:val="hybridMultilevel"/>
    <w:tmpl w:val="2236C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97B63"/>
    <w:multiLevelType w:val="hybridMultilevel"/>
    <w:tmpl w:val="C910D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D72"/>
    <w:rsid w:val="000863E1"/>
    <w:rsid w:val="00086D72"/>
    <w:rsid w:val="00111C43"/>
    <w:rsid w:val="0027003A"/>
    <w:rsid w:val="00746CF6"/>
    <w:rsid w:val="00AB25B6"/>
    <w:rsid w:val="00AC0986"/>
    <w:rsid w:val="00EA1703"/>
    <w:rsid w:val="00EB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E48E2"/>
  <w15:chartTrackingRefBased/>
  <w15:docId w15:val="{B4481B5E-544E-4427-A2BC-0BE319C08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6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D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2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5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9299F-DE4D-4CD8-A48C-566838369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cp:lastPrinted>2016-02-14T18:41:00Z</cp:lastPrinted>
  <dcterms:created xsi:type="dcterms:W3CDTF">2016-02-14T19:00:00Z</dcterms:created>
  <dcterms:modified xsi:type="dcterms:W3CDTF">2016-02-14T19:00:00Z</dcterms:modified>
</cp:coreProperties>
</file>