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51" w:rsidRDefault="006E0CE5" w:rsidP="00D45E40">
      <w:pPr>
        <w:pStyle w:val="Title"/>
      </w:pPr>
      <w:bookmarkStart w:id="0" w:name="_GoBack"/>
      <w:bookmarkEnd w:id="0"/>
      <w:r w:rsidRPr="006E0CE5">
        <w:t xml:space="preserve">DNA </w:t>
      </w:r>
      <w:r w:rsidR="00D45E40">
        <w:t>Q</w:t>
      </w:r>
      <w:r w:rsidRPr="006E0CE5">
        <w:t>uantification</w:t>
      </w:r>
    </w:p>
    <w:p w:rsidR="00995531" w:rsidRPr="00995531" w:rsidRDefault="00995531" w:rsidP="00995531"/>
    <w:p w:rsidR="00995531" w:rsidRPr="00995531" w:rsidRDefault="00995531" w:rsidP="009955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5531">
        <w:rPr>
          <w:rFonts w:ascii="Times New Roman" w:hAnsi="Times New Roman" w:cs="Times New Roman"/>
          <w:color w:val="333333"/>
          <w:sz w:val="24"/>
          <w:szCs w:val="24"/>
          <w:lang w:val="en"/>
        </w:rPr>
        <w:t>DNA yield can be assessed using various methods including absorbance (optical density), agarose gel electrophoresis, or use of fluorescent DNA-binding dyes. All three methods are convenient, but have varying requirements in terms of equipment needed, ease of use, and calculations to consider.</w:t>
      </w:r>
    </w:p>
    <w:p w:rsidR="006E0CE5" w:rsidRPr="00995531" w:rsidRDefault="006E0CE5" w:rsidP="00EC2951">
      <w:pPr>
        <w:spacing w:line="360" w:lineRule="auto"/>
        <w:rPr>
          <w:rFonts w:asciiTheme="majorBidi" w:hAnsiTheme="majorBidi" w:cs="Times New Roman"/>
          <w:b/>
          <w:bCs/>
          <w:sz w:val="24"/>
          <w:szCs w:val="24"/>
          <w:u w:val="single"/>
        </w:rPr>
      </w:pPr>
      <w:r w:rsidRPr="00995531">
        <w:rPr>
          <w:rFonts w:asciiTheme="majorBidi" w:hAnsiTheme="majorBidi" w:cs="Times New Roman"/>
          <w:b/>
          <w:bCs/>
          <w:sz w:val="24"/>
          <w:szCs w:val="24"/>
          <w:u w:val="single"/>
        </w:rPr>
        <w:t>Checking the quality by agarose gel electrophoresis</w:t>
      </w:r>
    </w:p>
    <w:p w:rsidR="006E0CE5" w:rsidRPr="006E0CE5" w:rsidRDefault="006E0CE5" w:rsidP="000E2B4D">
      <w:p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Genomic DNA extraction</w:t>
      </w:r>
      <w:r w:rsidR="000E2B4D">
        <w:rPr>
          <w:rFonts w:asciiTheme="majorBidi" w:hAnsiTheme="majorBidi" w:cs="Times New Roman"/>
          <w:color w:val="000000"/>
          <w:sz w:val="24"/>
          <w:szCs w:val="24"/>
          <w:lang w:val="en"/>
        </w:rPr>
        <w:t xml:space="preserve"> 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r</w:t>
      </w:r>
      <w:r w:rsidR="000E2B4D"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eading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at OD260 is equivalent to 50 µg/ml). A pure DNA solution has anOD260:OD280 ratio of 1.8 ± 1.The DNA concentration is calculated using the formula,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DNA concentration (µg /µl) = OD at 260 nm × dilution times × standard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value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If OD260 is 1.00, it is equivalent to 50 µg DNA per ml (standard). We are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taking 50 µl of DNA in 1 ml TE buffer, which means it is diluted 20 times.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For example: if the spectrophotometer reading is 0.112 (say), then the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concentration of DNA is calculated as,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DNA concentration (µg/µl) = 0.112 × 20 × 50= 112 µg/ml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m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ost DNA extracts are not reasonably pure and therefore estimates of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concentration using spectrophotometric measurements of UV absorption may be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misleading because of the interference by RNA or non-nucleic acids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contaminants. In this case, quantification of the DNA can be achieved by running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the DNA samples on 1 % agarose gel stained with ethidium bromide (0.5 µg/ml)(Ethidium bromide is a fluorescent chemical that intercalates between base pairs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in a double stranded DNA molecule). Aliquots of the DNA extracts are loaded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[e.g. 7 µl of DNA mix (5 µl of each DNA sample and 2 µl of loading dye)]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alongside a range [7 µl each of 5, 10, 25 and 50 ng/µl] of uncut lambda DNA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standards. High molecular weight DNA will appear as a well-resolved band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alongside the lambda DNA bands whilst the smearing below the band indicates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mechanical or chemical degradation. A smeared band towards the bottom of the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gel is an indication of the presence of RNA in the extract. A rough estimate of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DNA content (±10 ng) may be obtained by comparing band intensities of the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DNA extract and the standards by eye. Greater precision may be obtained with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the aid of commercial gel imaging equipment and gel analysis software.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However, most applications do not require that the amount of DNA be known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exactly. Techniques such as RAPD analysis depend more upon ensuring a</w:t>
      </w:r>
      <w:r w:rsidR="000E2B4D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consistent amount of DNA from sample to sample.</w:t>
      </w:r>
    </w:p>
    <w:p w:rsidR="006E0CE5" w:rsidRPr="006E0CE5" w:rsidRDefault="004B35E0" w:rsidP="000E2B4D">
      <w:p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lang w:val="en"/>
        </w:rPr>
      </w:pPr>
      <w:r>
        <w:rPr>
          <w:rFonts w:asciiTheme="majorBidi" w:hAnsiTheme="majorBidi" w:cs="Times New Roman"/>
          <w:b/>
          <w:bCs/>
          <w:color w:val="000000"/>
          <w:sz w:val="24"/>
          <w:szCs w:val="24"/>
          <w:bdr w:val="none" w:sz="0" w:space="0" w:color="auto" w:frame="1"/>
          <w:lang w:val="en"/>
        </w:rPr>
        <w:br w:type="page"/>
      </w:r>
      <w:r w:rsidR="006E0CE5" w:rsidRPr="006E0CE5">
        <w:rPr>
          <w:rFonts w:asciiTheme="majorBidi" w:hAnsiTheme="majorBidi" w:cs="Times New Roman"/>
          <w:b/>
          <w:bCs/>
          <w:color w:val="000000"/>
          <w:sz w:val="24"/>
          <w:szCs w:val="24"/>
          <w:bdr w:val="none" w:sz="0" w:space="0" w:color="auto" w:frame="1"/>
          <w:lang w:val="en"/>
        </w:rPr>
        <w:lastRenderedPageBreak/>
        <w:t>Procedure for spectrophotmetric measurement</w:t>
      </w:r>
    </w:p>
    <w:p w:rsidR="000E2B4D" w:rsidRDefault="006E0CE5" w:rsidP="00575806">
      <w:pPr>
        <w:numPr>
          <w:ilvl w:val="0"/>
          <w:numId w:val="1"/>
        </w:numPr>
        <w:spacing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Switch on the spectrophotometer and allow </w:t>
      </w:r>
      <w:r w:rsidR="004B35E0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warming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up.</w:t>
      </w:r>
    </w:p>
    <w:p w:rsidR="000E2B4D" w:rsidRDefault="006E0CE5" w:rsidP="00575806">
      <w:pPr>
        <w:numPr>
          <w:ilvl w:val="0"/>
          <w:numId w:val="1"/>
        </w:numPr>
        <w:spacing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Turn on the mode to UV.</w:t>
      </w:r>
    </w:p>
    <w:p w:rsidR="000E2B4D" w:rsidRDefault="006E0CE5" w:rsidP="00575806">
      <w:pPr>
        <w:numPr>
          <w:ilvl w:val="0"/>
          <w:numId w:val="1"/>
        </w:numPr>
        <w:spacing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Set the wavelength to 280 nm.</w:t>
      </w:r>
    </w:p>
    <w:p w:rsidR="000E2B4D" w:rsidRDefault="006E0CE5" w:rsidP="00575806">
      <w:pPr>
        <w:numPr>
          <w:ilvl w:val="0"/>
          <w:numId w:val="1"/>
        </w:numPr>
        <w:spacing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Wash the cuvette with distilled H2O. Dry with tisuue.</w:t>
      </w:r>
    </w:p>
    <w:p w:rsidR="000E2B4D" w:rsidRDefault="000E2B4D" w:rsidP="00575806">
      <w:pPr>
        <w:numPr>
          <w:ilvl w:val="0"/>
          <w:numId w:val="1"/>
        </w:numPr>
        <w:spacing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u</w:t>
      </w:r>
      <w:r w:rsidR="006E0CE5"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sing a micropipette, clean the inside of the cuvette by TE buffer.</w:t>
      </w:r>
    </w:p>
    <w:p w:rsidR="000E2B4D" w:rsidRDefault="006E0CE5" w:rsidP="00575806">
      <w:pPr>
        <w:numPr>
          <w:ilvl w:val="0"/>
          <w:numId w:val="1"/>
        </w:numPr>
        <w:spacing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Insert the cell containing 100 µl of TE into chamber.</w:t>
      </w:r>
    </w:p>
    <w:p w:rsidR="000E2B4D" w:rsidRDefault="006E0CE5" w:rsidP="00575806">
      <w:pPr>
        <w:numPr>
          <w:ilvl w:val="0"/>
          <w:numId w:val="1"/>
        </w:numPr>
        <w:spacing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Set the reading to zero.</w:t>
      </w:r>
    </w:p>
    <w:p w:rsidR="006E0CE5" w:rsidRPr="006E0CE5" w:rsidRDefault="006E0CE5" w:rsidP="00575806">
      <w:pPr>
        <w:numPr>
          <w:ilvl w:val="0"/>
          <w:numId w:val="1"/>
        </w:numPr>
        <w:spacing w:line="360" w:lineRule="auto"/>
        <w:rPr>
          <w:rFonts w:asciiTheme="majorBidi" w:hAnsiTheme="majorBidi" w:cs="Times New Roman"/>
          <w:color w:val="000000"/>
          <w:sz w:val="24"/>
          <w:szCs w:val="24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Set wavelength to 260 and then set the reading to zero.</w:t>
      </w:r>
    </w:p>
    <w:p w:rsidR="00575806" w:rsidRDefault="006E0CE5" w:rsidP="00575806">
      <w:pPr>
        <w:numPr>
          <w:ilvl w:val="0"/>
          <w:numId w:val="1"/>
        </w:num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Remove the cuvette from its compartment and discard the TE.</w:t>
      </w:r>
    </w:p>
    <w:p w:rsidR="00575806" w:rsidRDefault="006E0CE5" w:rsidP="00575806">
      <w:pPr>
        <w:numPr>
          <w:ilvl w:val="0"/>
          <w:numId w:val="1"/>
        </w:num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Add 5.0 µI of the DNA sample in the cuvette. </w:t>
      </w:r>
    </w:p>
    <w:p w:rsidR="004B35E0" w:rsidRDefault="006E0CE5" w:rsidP="00575806">
      <w:pPr>
        <w:numPr>
          <w:ilvl w:val="0"/>
          <w:numId w:val="1"/>
        </w:num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Add 95 µl of TE. Mix solution</w:t>
      </w:r>
      <w:r w:rsidR="004B35E0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thoroughly.</w:t>
      </w:r>
    </w:p>
    <w:p w:rsidR="004B35E0" w:rsidRDefault="006E0CE5" w:rsidP="00575806">
      <w:pPr>
        <w:numPr>
          <w:ilvl w:val="0"/>
          <w:numId w:val="1"/>
        </w:num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Insert the cuvette into the sample compartment and close the cover tightly.</w:t>
      </w:r>
    </w:p>
    <w:p w:rsidR="006E0CE5" w:rsidRPr="006E0CE5" w:rsidRDefault="006E0CE5" w:rsidP="00575806">
      <w:pPr>
        <w:numPr>
          <w:ilvl w:val="0"/>
          <w:numId w:val="1"/>
        </w:num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Read the OD value directly from the screen.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This gives the DNA</w:t>
      </w:r>
      <w:r w:rsidR="004B35E0" w:rsidRPr="00575806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concentration when multiplied by 1000. That is, if OD equals 0.200 then DNA</w:t>
      </w:r>
      <w:r w:rsidR="004B35E0" w:rsidRPr="00575806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concentration equals 0.200 x 50 x 20 = 200 µg/ml (50 because 1 unit OD</w:t>
      </w:r>
      <w:r w:rsidR="004B35E0" w:rsidRPr="00575806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corresponds to a concentration of 50 µg/ml and 20 because the DNA solution</w:t>
      </w:r>
      <w:r w:rsidR="004B35E0" w:rsidRPr="00575806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was diluted 20 X).</w:t>
      </w:r>
    </w:p>
    <w:p w:rsidR="006E0CE5" w:rsidRPr="006E0CE5" w:rsidRDefault="006E0CE5" w:rsidP="000E2B4D">
      <w:p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To assess purity of the samples:</w:t>
      </w:r>
    </w:p>
    <w:p w:rsidR="00575806" w:rsidRDefault="006E0CE5" w:rsidP="00D60A24">
      <w:pPr>
        <w:numPr>
          <w:ilvl w:val="0"/>
          <w:numId w:val="1"/>
        </w:num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Read the OD at 280 nm.</w:t>
      </w:r>
    </w:p>
    <w:p w:rsidR="00D60A24" w:rsidRPr="00D60A24" w:rsidRDefault="006E0CE5" w:rsidP="00D60A24">
      <w:pPr>
        <w:numPr>
          <w:ilvl w:val="0"/>
          <w:numId w:val="1"/>
        </w:num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Compute for OD260/OD280. A ratio value of 1.8 suggests a highly pure</w:t>
      </w:r>
      <w:r w:rsidR="00575806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preparation of DNA. Ratio values much less than that implies significant</w:t>
      </w:r>
      <w:r w:rsidR="00575806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presence of contaminants (generally proteins) such that accurate quantitation</w:t>
      </w:r>
      <w:r w:rsidR="00575806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of nulceic acids is not guaranteed.</w:t>
      </w:r>
    </w:p>
    <w:p w:rsidR="006E0CE5" w:rsidRPr="006E0CE5" w:rsidRDefault="006E0CE5" w:rsidP="00D60A24">
      <w:pPr>
        <w:numPr>
          <w:ilvl w:val="0"/>
          <w:numId w:val="1"/>
        </w:num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Read the OD values for the other samples at 260 and 280 nm by repeating the</w:t>
      </w:r>
      <w:r w:rsidR="00575806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steps described above. Make sure to wash the cuvette thoroughly with TE</w:t>
      </w:r>
      <w:r w:rsidR="00575806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between DNA samples.</w:t>
      </w:r>
    </w:p>
    <w:p w:rsidR="006E0CE5" w:rsidRPr="006E0CE5" w:rsidRDefault="00EA7F00" w:rsidP="000E2B4D">
      <w:pPr>
        <w:spacing w:after="0" w:line="360" w:lineRule="auto"/>
        <w:rPr>
          <w:rFonts w:asciiTheme="majorBidi" w:hAnsiTheme="majorBidi" w:cs="Times New Roman"/>
          <w:color w:val="000000"/>
          <w:sz w:val="24"/>
          <w:szCs w:val="24"/>
          <w:u w:val="single"/>
          <w:lang w:val="en"/>
        </w:rPr>
      </w:pPr>
      <w:r>
        <w:rPr>
          <w:rFonts w:asciiTheme="majorBidi" w:hAnsiTheme="majorBidi" w:cs="Times New Roman"/>
          <w:b/>
          <w:bCs/>
          <w:color w:val="000000"/>
          <w:sz w:val="24"/>
          <w:szCs w:val="24"/>
          <w:bdr w:val="none" w:sz="0" w:space="0" w:color="auto" w:frame="1"/>
          <w:lang w:val="en"/>
        </w:rPr>
        <w:br w:type="page"/>
      </w:r>
      <w:r w:rsidR="006E0CE5" w:rsidRPr="006E0CE5">
        <w:rPr>
          <w:rFonts w:asciiTheme="majorBidi" w:hAnsiTheme="majorBidi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val="en"/>
        </w:rPr>
        <w:lastRenderedPageBreak/>
        <w:t>Checking the quality by agarose gel electrophoresis</w:t>
      </w:r>
    </w:p>
    <w:p w:rsidR="006E0CE5" w:rsidRPr="006E0CE5" w:rsidRDefault="006E0CE5" w:rsidP="000E2B4D">
      <w:pPr>
        <w:spacing w:line="360" w:lineRule="auto"/>
        <w:rPr>
          <w:rFonts w:asciiTheme="majorBidi" w:hAnsiTheme="majorBidi" w:cs="Times New Roman"/>
          <w:color w:val="000000"/>
          <w:sz w:val="24"/>
          <w:szCs w:val="24"/>
          <w:lang w:val="en"/>
        </w:rPr>
      </w:pP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DNA fragments produced through amplification or through restriction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enzyme digestion are separated by using electrophoresis. Either agarose and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polyacrylamide gels are used which act as a selective filter so that DNA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molecules having different molecular sizes are separated into specific bands as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they move away from the one electrode to other. DNA is negatively charged and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will migrate to the positive electrode (anode) in an electric field. Because DNA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molecules have a uniform charge:mass ratio, they exhibit similar electrophoretic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migration properties in a resistance free medium. The migrated DNA is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visualized under UV light with the help of an intercalating dye, ethidium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bromide, which fluoresces when irradiated with UV. The size of the fragment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generated can be estimated by comparing the electrophoretic mobility (distance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migrated through the gel per unit time) of an unknown DNA molecule to the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electrophoretic </w:t>
      </w:r>
      <w:r w:rsidR="00D60A24"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mobility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of DNA molecules for which the sizes are known.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The standard method used to separate, identify and purify DNA</w:t>
      </w:r>
      <w:r w:rsidR="00D60A24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fragments is electrophoresis through agarose gels. The technique is simple, rapid</w:t>
      </w:r>
      <w:r w:rsidR="00EA7F00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to perform and capable of resolving mixtures of DNA fragments. The migration</w:t>
      </w:r>
      <w:r w:rsidR="00EA7F00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rate of DNA through agarose gels is additionally dependent upon the molecular</w:t>
      </w:r>
      <w:r w:rsidR="00EA7F00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size of the DNA, the agarose concentration, the conformation of the DNA and the</w:t>
      </w:r>
      <w:r w:rsidR="00EA7F00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applied current. A DNA fragment of a given size migrates at different rates</w:t>
      </w:r>
      <w:r w:rsidR="00EA7F00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through gels containing different concentrations of agarose. Thus, by using gels</w:t>
      </w:r>
      <w:r w:rsidR="00EA7F00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of different concentrations, it is possible to resolve a wide size-range of DNA</w:t>
      </w:r>
      <w:r w:rsidR="00EA7F00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 xml:space="preserve"> </w:t>
      </w:r>
      <w:r w:rsidRPr="006E0CE5">
        <w:rPr>
          <w:rFonts w:asciiTheme="majorBidi" w:hAnsiTheme="majorBidi" w:cs="Times New Roman"/>
          <w:color w:val="000000"/>
          <w:sz w:val="24"/>
          <w:szCs w:val="24"/>
          <w:bdr w:val="none" w:sz="0" w:space="0" w:color="auto" w:frame="1"/>
          <w:lang w:val="en"/>
        </w:rPr>
        <w:t>fragment.</w:t>
      </w:r>
    </w:p>
    <w:p w:rsidR="006E0CE5" w:rsidRPr="006E0CE5" w:rsidRDefault="006E0CE5" w:rsidP="000E2B4D">
      <w:pPr>
        <w:spacing w:line="360" w:lineRule="auto"/>
        <w:rPr>
          <w:rFonts w:asciiTheme="majorBidi" w:hAnsiTheme="majorBidi" w:cs="Times New Roman"/>
          <w:sz w:val="24"/>
          <w:szCs w:val="24"/>
          <w:lang w:val="en"/>
        </w:rPr>
      </w:pPr>
    </w:p>
    <w:sectPr w:rsidR="006E0CE5" w:rsidRPr="006E0CE5" w:rsidSect="00B751B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3EC" w:rsidRDefault="00DE33EC" w:rsidP="004B35E0">
      <w:pPr>
        <w:spacing w:after="0" w:line="240" w:lineRule="auto"/>
      </w:pPr>
      <w:r>
        <w:separator/>
      </w:r>
    </w:p>
  </w:endnote>
  <w:endnote w:type="continuationSeparator" w:id="0">
    <w:p w:rsidR="00DE33EC" w:rsidRDefault="00DE33EC" w:rsidP="004B3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f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51" w:rsidRPr="00EC2951" w:rsidRDefault="00EC2951" w:rsidP="00EC2951">
    <w:pPr>
      <w:spacing w:after="0" w:line="240" w:lineRule="auto"/>
      <w:rPr>
        <w:rFonts w:ascii="Times New Roman" w:hAnsi="Times New Roman" w:cs="Times New Roman"/>
        <w:color w:val="000000"/>
        <w:vertAlign w:val="subscript"/>
        <w:lang w:val="en"/>
      </w:rPr>
    </w:pPr>
    <w:r w:rsidRPr="00EC2951">
      <w:rPr>
        <w:rStyle w:val="a1"/>
        <w:rFonts w:ascii="Times New Roman" w:hAnsi="Times New Roman" w:cs="Times New Roman"/>
        <w:i w:val="0"/>
        <w:color w:val="000000"/>
        <w:vertAlign w:val="subscript"/>
        <w:lang w:val="en"/>
      </w:rPr>
      <w:t xml:space="preserve">Vinod, K K (2004). Total genomic Dna extraction,quality check and quntitation. In: proceeding of the training programme on “classical and modern plant breeding techniques A hands on training”. Tamil Nadu Agricultural University, Coimbatore, India.[available online at </w:t>
    </w:r>
    <w:hyperlink r:id="rId1" w:history="1">
      <w:r w:rsidRPr="00EC2951">
        <w:rPr>
          <w:rStyle w:val="Hyperlink"/>
          <w:rFonts w:ascii="Times New Roman" w:hAnsi="Times New Roman"/>
          <w:bdr w:val="none" w:sz="0" w:space="0" w:color="auto" w:frame="1"/>
          <w:vertAlign w:val="subscript"/>
          <w:lang w:val="en"/>
        </w:rPr>
        <w:t>http://kkvinod.webs.com.pp</w:t>
      </w:r>
    </w:hyperlink>
    <w:r w:rsidRPr="00EC2951">
      <w:rPr>
        <w:rStyle w:val="a1"/>
        <w:rFonts w:ascii="Times New Roman" w:hAnsi="Times New Roman" w:cs="Times New Roman"/>
        <w:i w:val="0"/>
        <w:color w:val="000000"/>
        <w:vertAlign w:val="subscript"/>
        <w:lang w:val="en"/>
      </w:rPr>
      <w:t xml:space="preserve"> 109-121.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3EC" w:rsidRDefault="00DE33EC" w:rsidP="004B35E0">
      <w:pPr>
        <w:spacing w:after="0" w:line="240" w:lineRule="auto"/>
      </w:pPr>
      <w:r>
        <w:separator/>
      </w:r>
    </w:p>
  </w:footnote>
  <w:footnote w:type="continuationSeparator" w:id="0">
    <w:p w:rsidR="00DE33EC" w:rsidRDefault="00DE33EC" w:rsidP="004B3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31" w:rsidRDefault="00995531">
    <w:pPr>
      <w:pStyle w:val="Header"/>
    </w:pPr>
    <w:r>
      <w:t>Alanoud Alfaghom General Genetics (BOT 253).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07D7"/>
    <w:multiLevelType w:val="hybridMultilevel"/>
    <w:tmpl w:val="C5E45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66DFA"/>
    <w:multiLevelType w:val="hybridMultilevel"/>
    <w:tmpl w:val="B6B268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0C28A0"/>
    <w:multiLevelType w:val="hybridMultilevel"/>
    <w:tmpl w:val="817263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0505C5"/>
    <w:multiLevelType w:val="hybridMultilevel"/>
    <w:tmpl w:val="21146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CE5"/>
    <w:rsid w:val="000E2B4D"/>
    <w:rsid w:val="002D2B93"/>
    <w:rsid w:val="004B35E0"/>
    <w:rsid w:val="00547A30"/>
    <w:rsid w:val="00575806"/>
    <w:rsid w:val="006E0CE5"/>
    <w:rsid w:val="00995531"/>
    <w:rsid w:val="00B751B2"/>
    <w:rsid w:val="00D45E40"/>
    <w:rsid w:val="00D60A24"/>
    <w:rsid w:val="00DE33EC"/>
    <w:rsid w:val="00E75927"/>
    <w:rsid w:val="00EA7F00"/>
    <w:rsid w:val="00EC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5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5E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B35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5E0"/>
    <w:rPr>
      <w:rFonts w:cs="Times New Roman"/>
    </w:rPr>
  </w:style>
  <w:style w:type="character" w:customStyle="1" w:styleId="a1">
    <w:name w:val="a1"/>
    <w:rsid w:val="00EA7F00"/>
    <w:rPr>
      <w:rFonts w:ascii="ff4" w:hAnsi="ff4"/>
      <w:i/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2D2B93"/>
    <w:rPr>
      <w:rFonts w:cs="Times New Roman"/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95531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995531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5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5E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B35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5E0"/>
    <w:rPr>
      <w:rFonts w:cs="Times New Roman"/>
    </w:rPr>
  </w:style>
  <w:style w:type="character" w:customStyle="1" w:styleId="a1">
    <w:name w:val="a1"/>
    <w:rsid w:val="00EA7F00"/>
    <w:rPr>
      <w:rFonts w:ascii="ff4" w:hAnsi="ff4"/>
      <w:i/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2D2B93"/>
    <w:rPr>
      <w:rFonts w:cs="Times New Roman"/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95531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995531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3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3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3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03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03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3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037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037057">
                                                  <w:marLeft w:val="150"/>
                                                  <w:marRight w:val="150"/>
                                                  <w:marTop w:val="15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03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037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037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3037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3037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3037063">
                                                  <w:marLeft w:val="150"/>
                                                  <w:marRight w:val="150"/>
                                                  <w:marTop w:val="15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037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03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037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3037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3037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37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kkvinod.webs.com.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Alanoud Talal Alfaghom</dc:creator>
  <cp:lastModifiedBy>Alanoud Talal Alfaghom</cp:lastModifiedBy>
  <cp:revision>2</cp:revision>
  <cp:lastPrinted>2014-10-28T09:03:00Z</cp:lastPrinted>
  <dcterms:created xsi:type="dcterms:W3CDTF">2014-10-28T09:09:00Z</dcterms:created>
  <dcterms:modified xsi:type="dcterms:W3CDTF">2014-10-28T09:09:00Z</dcterms:modified>
</cp:coreProperties>
</file>