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9B" w:rsidRPr="004A349B" w:rsidRDefault="004A349B" w:rsidP="004A349B">
      <w:pPr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</w:rPr>
      </w:pPr>
      <w:r w:rsidRPr="004A349B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هل أصبح تذكير الأمة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 xml:space="preserve"> الإسلامية</w:t>
      </w:r>
      <w:r w:rsidRPr="004A349B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 xml:space="preserve"> بالمبشرات منهجاً </w:t>
      </w:r>
      <w:proofErr w:type="spellStart"/>
      <w:r w:rsidRPr="004A349B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  <w:t>غائباً؟!</w:t>
      </w:r>
      <w:proofErr w:type="spellEnd"/>
    </w:p>
    <w:p w:rsidR="004A349B" w:rsidRPr="004A349B" w:rsidRDefault="004A349B" w:rsidP="008A2A47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</w:rPr>
      </w:pP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المتأمل لوسائل الإعلام يلحظ وبجلاء تام التسابق المحموم بين تلك الوسائل لنشر الأخبار والأحداث والوقائع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ومتابعتها،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وأصبح الواحد منا يسمع ما بين عشية وضحاها</w:t>
      </w:r>
      <w:r w:rsidR="008A2A47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r w:rsidR="008A2A47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</w:rPr>
        <w:t>أنباءً م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روعة عن أمتنا وعالمنا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الإسلامي،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وإن المتابع لأحوال المسلمين في شتى بقاع الأرض ليأسى أشد الأسى لما يتعرض له إخواننا في كل مكان</w:t>
      </w:r>
      <w:r w:rsidR="008A2A47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وفي خضم هذا السيل الجارف من الأخبار تعقد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المؤتمرات،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وتقام الندوات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والمحاضرات،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وتكتب المقالات وتؤلف الكتب وتنشط كثير من مواقع الشبكة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العنكبوتية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(الإنترنت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)،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وتكثر رسائل الجوال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وتنتشر،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وتستفيض الردود والمحاورات للحديث عن تلك الأخبار والمآسي وتحليلها وهي ظاهرة جيدة ولا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شك،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ولكن يغيب عنها بشكل أو بآخر تذكير الأمة الإسلامية بالمبشرات الواردة في الكتاب والسنة من نصرة لهذا الدين وظهوره وأنه محفوظ بحفظ الله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له،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ونصرة المسلمين. </w:t>
      </w:r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ومن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العجيب أن بعضهم قد يورد تلك المبشرات على استحياء في آخر الحديث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!!</w:t>
      </w:r>
    </w:p>
    <w:p w:rsidR="004A349B" w:rsidRPr="004A349B" w:rsidRDefault="004A349B" w:rsidP="004A349B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</w:rPr>
      </w:pP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إن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منهج ربط الأمة بالمبشرات وتذكيرها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بها؛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ليس عبارات تسرد سردا وتهذّ هذا لتلطيف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الأجواء،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بل هي صلب الموضوع ولبه الذي ينبغي البدء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به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. </w:t>
      </w:r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إن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العاقل الحصيف هو من يستطيع أن يوظف تلك المآسي لتكون ضمن المبشرات وحتى لا يقع في المحذور الشرعي الوارد في قول النبي صلى الله عليه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وسلم: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(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(إذا قال الرجل هلك الناس فهو أهلكهم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)).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proofErr w:type="spellStart"/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وقوله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(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(أهلكُهُم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))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بضم الكاف على الرفع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يعني: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أنه هو أشدهم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هلاكا،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وبفتحها على النصب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بمعنى: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أنه بقوله هذا كان سببًا في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هلاكهم،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والحديث في صحيح الإمام مسلم وغيره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</w:p>
    <w:p w:rsidR="004A349B" w:rsidRPr="004A349B" w:rsidRDefault="004A349B" w:rsidP="004A349B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</w:rPr>
      </w:pP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إن ربط الأمة بالمبشرات جزء من العلاج بل قد يكون هو أصل العلاج كيف لا وهو منهج قرآني نبوي تضافرت نصوص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الوحيين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على ذكره بشتى صوره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وأنواعه؛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العام منها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والخاص،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قال تعالى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: {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إِنَّ الْأَرْضَ لِلَّهِ يُورِثُهَا مَنْ يَشَاءُ مِنْ عِبَادِهِ وَالْعَاقِبَةُ لِلْمُتَّقِينَ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} [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الأعراف: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128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]،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وقال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: {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وَلَقَدْ سَبَقَتْ كَلِمَتُنَا لِعِبَادِنَا الْمُرْسَلِينَ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</w:rPr>
        <w:t> </w:t>
      </w:r>
      <w:r w:rsidRPr="004A349B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</w:rPr>
        <w:t>*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</w:rPr>
        <w:t> 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إِنَّهُمْ لَهُمُ الْمَنْصُورُونَ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</w:rPr>
        <w:t> </w:t>
      </w:r>
      <w:r w:rsidRPr="004A349B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</w:rPr>
        <w:t>*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</w:rPr>
        <w:t> 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وَإِنَّ جُنْدَنَا لَهُمُ الْغَالِبُونَ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} [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الصافات: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171-173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]،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وقال تعالى عن موسى عليه السلام وقومه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: {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قَالَ أَصْحَابُ مُوسَى إِنَّا لَمُدْرَكُونَ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</w:rPr>
        <w:t> </w:t>
      </w:r>
      <w:r w:rsidRPr="004A349B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</w:rPr>
        <w:t>*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</w:rPr>
        <w:t> 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قَالَ كَلَّا إِنَّ مَعِيَ رَبِّي سَيَهْدِينِ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} [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الشعراء: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61،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62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].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وفي شأن نبينا محمد صلى الله عليه وسلم حين اختبائه في الغار مع أبي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بكر-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رضي الله عنه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-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أثناء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الهجرة،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قال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أبوبكر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: "لو أن أحدهم رفع قدمه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رآنا،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فقال صلى الله عليه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وسلم: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(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(ما ظنك باثنين الله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ثالثهما؟))،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فأنزل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الله في ذلك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: {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إِذْ هُمَا فِي الْغَارِ إِذْ يَقُولُ لِصَاحِبِهِ لَا تَحْزَنْ إِنَّ اللَّهَ مَعَنَا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} [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التوبة: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40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].</w:t>
      </w:r>
    </w:p>
    <w:p w:rsidR="004A349B" w:rsidRPr="004A349B" w:rsidRDefault="004A349B" w:rsidP="004A349B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</w:rPr>
      </w:pP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إن تذكير الأمة بالمبشرات مطلب ملحّ في كل وقت وبالأخص عند اشتداد الأزمات وتوالي المآسي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والنكبات،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قال تعالى في بداية سورة القصص عند اشتداد أذى فرعون ومن معه على موسى _ عليه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السلام -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وقومه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: {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إِنَّ فِرْعَوْنَ عَلَا فِي الْأَرْضِ وَجَعَلَ أَهْلَهَا شِيَعًا يَسْتَضْعِفُ طَائِفَةً مِنْهُمْ يُذَبِّحُ أَبْنَاءَهُمْ وَيَسْتَحْيِي نِسَاءَهُمْ إِنَّهُ كَانَ مِنَ الْمُفْسِدِينَ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} [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القصص: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4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]،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ثم قال تعالى بعد ذلك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كله -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واستمع للمبشرات والوعد الصادق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-: {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 xml:space="preserve">وَنُرِيدُ أَنْ نَمُنَّ 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lastRenderedPageBreak/>
        <w:t>عَلَى الَّذِينَ اسْتُضْعِفُوا فِي الْأَرْضِ وَنَجْعَلَهُمْ أَئِمَّةً وَنَجْعَلَهُمُ الْوَارِثِينَ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</w:rPr>
        <w:t> </w:t>
      </w:r>
      <w:r w:rsidRPr="004A349B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</w:rPr>
        <w:t>*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</w:rPr>
        <w:t> 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وَنُمَكِّنَ لَهُمْ فِي الْأَرْضِ وَنُرِيَ فِرْعَوْنَ وَهَامَانَ وَجُنُودَهُمَا مِنْهُمْ مَا كَانُوا يَحْذَرُونَ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} [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القصص: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5،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6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].</w:t>
      </w:r>
    </w:p>
    <w:p w:rsidR="004A349B" w:rsidRPr="004A349B" w:rsidRDefault="004A349B" w:rsidP="004A349B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</w:rPr>
      </w:pP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إنه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منهج تعليق الأمة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بخالقها،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والمعرفة التامة بأن هذا الدين هو دين الله وهو منصور وظاهر بنا أو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بغيرنا،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ولكن الشأن في قوله تعالى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: {</w:t>
      </w:r>
      <w:r w:rsidRPr="004A349B">
        <w:rPr>
          <w:rFonts w:ascii="Traditional Arabic" w:eastAsia="Times New Roman" w:hAnsi="Traditional Arabic" w:cs="Traditional Arabic"/>
          <w:b/>
          <w:bCs/>
          <w:color w:val="339966"/>
          <w:sz w:val="28"/>
          <w:szCs w:val="28"/>
          <w:rtl/>
        </w:rPr>
        <w:t>وَإِنْ تَتَوَلَّوْا يَسْتَبْدِلْ قَوْمًا غَيْرَكُمْ ثُمَّ لَا يَكُونُوا أَمْثَالَكُمْ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} [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محمد: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38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].</w:t>
      </w:r>
    </w:p>
    <w:p w:rsidR="004A349B" w:rsidRPr="004A349B" w:rsidRDefault="004A349B" w:rsidP="004A349B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</w:rPr>
      </w:pP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يا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لله العجب الداخلون الجدد في الإسلام كيف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دخلوا؟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ما سبب الهجمات الشرسة المتتالية على هذا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الدين،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والتطاول على نبي الأمة وعلى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المسلمين؟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ما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سر الإحصائيات الغربية المتتالية والمحذرة من انتشار الإسلام وزيادة أتباعه خصوصا في هذا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الزمان؟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ألا يدعو ذلك </w:t>
      </w:r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كله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للتأمل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والتفكر؟!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وصدق النبي صلى الله عليه وسلم حيث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قال: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(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(لا يبقى على الأرض بيت مدرٍ ولا وبرٍ إلا أدخله الله الإسلام بعزِّ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عزيز،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أو بذلِّ ذليلٍ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))،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وفي بعض ألفاظ هذا الحديث من طرق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أخرى: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(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(إما يعزهم الله فيجعلهم من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أهلها،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أو يذلهم فيدينون لها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)).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gram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ومعنى</w:t>
      </w:r>
      <w:proofErr w:type="gram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قوله: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(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(بيت مدر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))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أي: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أهل المدن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والقرى،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والوبر: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أهل البوادي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</w:p>
    <w:p w:rsidR="004A349B" w:rsidRPr="004A349B" w:rsidRDefault="004A349B" w:rsidP="004A349B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</w:rPr>
      </w:pP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إن الجسد قد يمرض وتعتريه الآفات وهذا شر في حد ذاته لكنه من جهة أخرى فيه نفع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وخير؛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لينتبه صاحب هذا الجسد وليعرف أسباب مرضه بل قد يستفيد هذا لجسد من ذلك المرض بتخلصه من أخلاط رديئة لم يمكنه التخلص منها إلا بعد أصابته بذلك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المرض،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وللإمام ابن القيم رحمه الله كلامٌ جميلٌ في هذا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</w:p>
    <w:p w:rsidR="004A349B" w:rsidRPr="004A349B" w:rsidRDefault="004A349B" w:rsidP="004A349B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color w:val="000000"/>
          <w:sz w:val="28"/>
          <w:szCs w:val="28"/>
        </w:rPr>
      </w:pP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800000"/>
          <w:sz w:val="28"/>
          <w:szCs w:val="28"/>
          <w:rtl/>
        </w:rPr>
        <w:t>ومن المفيد جداً أثناء الحديث عن مآسي الأمة الإسلامية وتذكيرها بالمبشرات</w:t>
      </w:r>
      <w:r w:rsidRPr="004A349B">
        <w:rPr>
          <w:rFonts w:ascii="Traditional Arabic" w:eastAsia="Times New Roman" w:hAnsi="Traditional Arabic" w:cs="Traditional Arabic"/>
          <w:color w:val="800000"/>
          <w:sz w:val="28"/>
          <w:szCs w:val="28"/>
        </w:rPr>
        <w:t>: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 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تعليقها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بخالقها،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وتذكيرها بسنن الله الكونية التي لا تحابي أحدا كائناً ما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كان،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وتنبيهها إلى أهمية الأخذ بالأسباب </w:t>
      </w:r>
      <w:proofErr w:type="spellStart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المشروعة،</w:t>
      </w:r>
      <w:proofErr w:type="spellEnd"/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 وفيما تقدم من النصوص دلالة كافية على تأكيد هذا المنهج المتكامل وتأصيله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</w:p>
    <w:p w:rsidR="00DB2B86" w:rsidRPr="004A349B" w:rsidRDefault="004A349B" w:rsidP="004A349B">
      <w:pPr>
        <w:jc w:val="both"/>
        <w:rPr>
          <w:rFonts w:ascii="Traditional Arabic" w:hAnsi="Traditional Arabic" w:cs="Traditional Arabic"/>
          <w:sz w:val="28"/>
          <w:szCs w:val="28"/>
        </w:rPr>
      </w:pP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br/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رابط الموضوع</w:t>
      </w:r>
      <w:r w:rsidRPr="004A349B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: </w:t>
      </w:r>
      <w:hyperlink r:id="rId4" w:anchor="ixzz3CE7VaSPz" w:history="1">
        <w:r w:rsidRPr="004A349B">
          <w:rPr>
            <w:rFonts w:ascii="Traditional Arabic" w:eastAsia="Times New Roman" w:hAnsi="Traditional Arabic" w:cs="Traditional Arabic"/>
            <w:color w:val="003399"/>
            <w:sz w:val="28"/>
            <w:szCs w:val="28"/>
          </w:rPr>
          <w:t>http://www.alukah.net/sharia/0/18787/#ixzz3CE7VaSPz</w:t>
        </w:r>
      </w:hyperlink>
    </w:p>
    <w:sectPr w:rsidR="00DB2B86" w:rsidRPr="004A349B" w:rsidSect="00F6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49B"/>
    <w:rsid w:val="001A2DCD"/>
    <w:rsid w:val="003E1A59"/>
    <w:rsid w:val="003F1CEE"/>
    <w:rsid w:val="0048781B"/>
    <w:rsid w:val="004A349B"/>
    <w:rsid w:val="00582BE7"/>
    <w:rsid w:val="00723563"/>
    <w:rsid w:val="008A2A47"/>
    <w:rsid w:val="008D2223"/>
    <w:rsid w:val="008F1FEA"/>
    <w:rsid w:val="0096253E"/>
    <w:rsid w:val="00A20F85"/>
    <w:rsid w:val="00A25D2C"/>
    <w:rsid w:val="00A77E11"/>
    <w:rsid w:val="00A9742E"/>
    <w:rsid w:val="00BB7632"/>
    <w:rsid w:val="00D0026A"/>
    <w:rsid w:val="00DB2B86"/>
    <w:rsid w:val="00EE2E08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49B"/>
    <w:rPr>
      <w:b/>
      <w:bCs/>
    </w:rPr>
  </w:style>
  <w:style w:type="character" w:customStyle="1" w:styleId="apple-converted-space">
    <w:name w:val="apple-converted-space"/>
    <w:basedOn w:val="a0"/>
    <w:rsid w:val="004A349B"/>
  </w:style>
  <w:style w:type="character" w:styleId="Hyperlink">
    <w:name w:val="Hyperlink"/>
    <w:basedOn w:val="a0"/>
    <w:uiPriority w:val="99"/>
    <w:semiHidden/>
    <w:unhideWhenUsed/>
    <w:rsid w:val="004A3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ukah.net/sharia/0/187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Dr.Taisear</dc:creator>
  <cp:lastModifiedBy>Dr.Taisear</cp:lastModifiedBy>
  <cp:revision>2</cp:revision>
  <dcterms:created xsi:type="dcterms:W3CDTF">2014-09-03T05:16:00Z</dcterms:created>
  <dcterms:modified xsi:type="dcterms:W3CDTF">2014-09-03T05:21:00Z</dcterms:modified>
</cp:coreProperties>
</file>