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F5F" w:rsidRDefault="00BA30D8" w:rsidP="00291EEB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</w:rPr>
      </w:pPr>
      <w:r w:rsidRPr="00F412A8">
        <w:rPr>
          <w:rFonts w:asciiTheme="majorBidi" w:hAnsiTheme="majorBidi" w:cstheme="majorBidi"/>
          <w:b/>
          <w:bCs/>
          <w:sz w:val="28"/>
        </w:rPr>
        <w:t>Mapping of Learning Outcomes to Methods of Assessment</w:t>
      </w:r>
    </w:p>
    <w:p w:rsidR="00F412A8" w:rsidRPr="00F412A8" w:rsidRDefault="00F412A8" w:rsidP="00291EEB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</w:rPr>
      </w:pPr>
    </w:p>
    <w:tbl>
      <w:tblPr>
        <w:tblStyle w:val="a3"/>
        <w:tblW w:w="0" w:type="auto"/>
        <w:tblLook w:val="04A0"/>
      </w:tblPr>
      <w:tblGrid>
        <w:gridCol w:w="3708"/>
        <w:gridCol w:w="8190"/>
        <w:gridCol w:w="3717"/>
      </w:tblGrid>
      <w:tr w:rsidR="00BA30D8" w:rsidRPr="00F412A8" w:rsidTr="00291EEB">
        <w:trPr>
          <w:trHeight w:val="20"/>
        </w:trPr>
        <w:tc>
          <w:tcPr>
            <w:tcW w:w="3708" w:type="dxa"/>
          </w:tcPr>
          <w:p w:rsidR="00BA30D8" w:rsidRPr="00F412A8" w:rsidRDefault="00BA30D8" w:rsidP="00291EE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2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Course Title and Code</w:t>
            </w:r>
          </w:p>
        </w:tc>
        <w:tc>
          <w:tcPr>
            <w:tcW w:w="8190" w:type="dxa"/>
          </w:tcPr>
          <w:p w:rsidR="00BA30D8" w:rsidRPr="00F412A8" w:rsidRDefault="00BA30D8" w:rsidP="00291EE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2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Learning Outcomes</w:t>
            </w:r>
          </w:p>
        </w:tc>
        <w:tc>
          <w:tcPr>
            <w:tcW w:w="3717" w:type="dxa"/>
          </w:tcPr>
          <w:p w:rsidR="00BA30D8" w:rsidRPr="00F412A8" w:rsidRDefault="00BA30D8" w:rsidP="00291EE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2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Methods of Assessment</w:t>
            </w:r>
          </w:p>
        </w:tc>
      </w:tr>
      <w:tr w:rsidR="00BA30D8" w:rsidRPr="00F412A8" w:rsidTr="00291EEB">
        <w:tc>
          <w:tcPr>
            <w:tcW w:w="3708" w:type="dxa"/>
            <w:shd w:val="clear" w:color="auto" w:fill="DDD9C3" w:themeFill="background2" w:themeFillShade="E6"/>
          </w:tcPr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90" w:type="dxa"/>
            <w:shd w:val="clear" w:color="auto" w:fill="DDD9C3" w:themeFill="background2" w:themeFillShade="E6"/>
          </w:tcPr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717" w:type="dxa"/>
            <w:shd w:val="clear" w:color="auto" w:fill="DDD9C3" w:themeFill="background2" w:themeFillShade="E6"/>
          </w:tcPr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A30D8" w:rsidRPr="00F412A8" w:rsidTr="00291EEB">
        <w:tc>
          <w:tcPr>
            <w:tcW w:w="3708" w:type="dxa"/>
          </w:tcPr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2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ACC 201</w:t>
            </w:r>
          </w:p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412A8">
              <w:rPr>
                <w:rFonts w:asciiTheme="majorBidi" w:hAnsiTheme="majorBidi" w:cstheme="majorBidi"/>
                <w:sz w:val="24"/>
                <w:szCs w:val="24"/>
              </w:rPr>
              <w:t>Accounting Principles and Financial Reporting</w:t>
            </w:r>
          </w:p>
        </w:tc>
        <w:tc>
          <w:tcPr>
            <w:tcW w:w="8190" w:type="dxa"/>
          </w:tcPr>
          <w:p w:rsidR="00376293" w:rsidRDefault="00376293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A30D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LO.1.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Use accounting and business terminology, and understand the nature and purpose of generally accepted accounting principles (GAAP)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LO.2.</w:t>
            </w:r>
            <w:r>
              <w:t xml:space="preserve">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Identify users of accounting information and their information needs.</w:t>
            </w: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LO.3.</w:t>
            </w:r>
            <w:r>
              <w:t xml:space="preserve">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Explain the objective of financial reporting, the elements of the financial statements, and the related key accounting concepts and their application.</w:t>
            </w: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LO.4.</w:t>
            </w:r>
            <w:r>
              <w:t xml:space="preserve">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Understand the concept of an "account" and Know the six types of accounts (e.g., assets), and the related debit/credit rules.</w:t>
            </w: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LO.5.</w:t>
            </w:r>
            <w:r>
              <w:t xml:space="preserve">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Identify the accounting cycle and distinguish between a journal and ledger and understand the purpose of a trial balance.</w:t>
            </w: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LO.6.</w:t>
            </w:r>
            <w:r>
              <w:t xml:space="preserve">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Document simple financial transactions in the accounting journal, and then record these journal entries in ledgers using ‘T’ accounts.</w:t>
            </w: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LO.7.</w:t>
            </w:r>
            <w:r>
              <w:t xml:space="preserve">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Balance ‘T’ accounts and extract information for the preparation of the trial balance.</w:t>
            </w: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LO.8.</w:t>
            </w:r>
            <w:r>
              <w:t xml:space="preserve">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Explain the relationship between debit and credit entries in the trial balance and items appearing in the balance sheet and income statement.</w:t>
            </w: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LO.9.</w:t>
            </w:r>
            <w:r>
              <w:t xml:space="preserve">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Prepare and describe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the balance sheet statement and income statement, and understand how accounting information, provided by these two financial statements,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F412A8">
              <w:rPr>
                <w:rFonts w:asciiTheme="majorBidi" w:hAnsiTheme="majorBidi" w:cstheme="majorBidi"/>
                <w:sz w:val="24"/>
                <w:szCs w:val="24"/>
              </w:rPr>
              <w:t>can be used by the users of accounting information to analyze business operations and make economic decisions.</w:t>
            </w:r>
          </w:p>
          <w:p w:rsid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LO.10.</w:t>
            </w:r>
            <w:r w:rsidRPr="0020070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Explain the nature of current assets including the measuring and reporting of items such as receivables and bad debts, </w:t>
            </w:r>
            <w: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prepaid expenses, notes receivable and notes payable</w:t>
            </w:r>
            <w:r w:rsidRPr="0020070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and</w:t>
            </w:r>
            <w:r w:rsidRPr="0020070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invent</w:t>
            </w:r>
            <w: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ory and costs of goods sold.</w:t>
            </w:r>
          </w:p>
          <w:p w:rsidR="00F412A8" w:rsidRDefault="00F412A8" w:rsidP="00291EEB">
            <w:pPr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LO.11.</w:t>
            </w:r>
            <w:r>
              <w:t xml:space="preserve"> </w:t>
            </w:r>
            <w:r w:rsidRPr="00F412A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Prepare and contrast inventory valuations under different costing methods, and explain the effects of different inventory valuation methods on the two main financial statements.</w:t>
            </w:r>
          </w:p>
          <w:p w:rsidR="00F412A8" w:rsidRDefault="00F412A8" w:rsidP="00291EEB">
            <w:pPr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LO.12.</w:t>
            </w:r>
            <w:r>
              <w:t xml:space="preserve"> </w:t>
            </w:r>
            <w:r w:rsidRPr="00F412A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Identify and illustrate issues relating to the acquisition, use, depreciation, and disposal of fixed assets.</w:t>
            </w:r>
          </w:p>
          <w:p w:rsidR="00F412A8" w:rsidRDefault="00F412A8" w:rsidP="00291EEB">
            <w:pPr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  <w:p w:rsidR="00F412A8" w:rsidRDefault="00F412A8" w:rsidP="00291EEB">
            <w:pPr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LO.13.</w:t>
            </w:r>
            <w:r>
              <w:t xml:space="preserve"> </w:t>
            </w:r>
            <w:r w:rsidRPr="00F412A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Explain the nature of current liabilities including the measuring and reporting of items such loan and cash overdraft.</w:t>
            </w:r>
          </w:p>
          <w:p w:rsidR="00F412A8" w:rsidRDefault="00F412A8" w:rsidP="00291EEB">
            <w:pPr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  <w:p w:rsidR="00F412A8" w:rsidRPr="00F412A8" w:rsidRDefault="00F412A8" w:rsidP="00291EE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LO.14.</w:t>
            </w:r>
            <w:r>
              <w:t xml:space="preserve"> </w:t>
            </w:r>
            <w:r w:rsidRPr="00F412A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Compute and interpret key financial and accounting ratios.</w:t>
            </w:r>
          </w:p>
        </w:tc>
        <w:tc>
          <w:tcPr>
            <w:tcW w:w="3717" w:type="dxa"/>
          </w:tcPr>
          <w:p w:rsidR="000909CF" w:rsidRPr="00856A2B" w:rsidRDefault="000909CF" w:rsidP="000909CF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856A2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Coursework 60%</w:t>
            </w:r>
          </w:p>
          <w:p w:rsidR="000909CF" w:rsidRDefault="000909CF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Coursework will assess the following learning outcomes:</w:t>
            </w:r>
          </w:p>
          <w:p w:rsidR="000909CF" w:rsidRDefault="000909CF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56A2B">
              <w:rPr>
                <w:rFonts w:asciiTheme="majorBidi" w:hAnsiTheme="majorBidi" w:cstheme="majorBidi"/>
                <w:sz w:val="24"/>
                <w:szCs w:val="24"/>
                <w:u w:val="single"/>
              </w:rPr>
              <w:t>First exam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of coursework </w:t>
            </w:r>
            <w:r w:rsidRPr="000909C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(12%)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– LO. 1,2,3,4,5,6,7,8 &amp; 9.</w:t>
            </w:r>
          </w:p>
          <w:p w:rsidR="000909CF" w:rsidRDefault="000909CF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909CF" w:rsidRDefault="000909CF" w:rsidP="000909CF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56A2B">
              <w:rPr>
                <w:rFonts w:asciiTheme="majorBidi" w:hAnsiTheme="majorBidi" w:cstheme="majorBidi"/>
                <w:sz w:val="24"/>
                <w:szCs w:val="24"/>
                <w:u w:val="single"/>
              </w:rPr>
              <w:t>Second exam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of coursework </w:t>
            </w:r>
            <w:r w:rsidRPr="000909C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(25%)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– LO. 1, 2, 3, 4, 5, 6, 7, 8 and 9.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(Unified Exam)</w:t>
            </w:r>
          </w:p>
          <w:p w:rsidR="000909CF" w:rsidRDefault="000909CF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909CF" w:rsidRDefault="000909CF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- </w:t>
            </w:r>
            <w:r w:rsidRPr="00617358">
              <w:rPr>
                <w:rFonts w:asciiTheme="majorBidi" w:hAnsiTheme="majorBidi" w:cstheme="majorBidi"/>
                <w:sz w:val="24"/>
                <w:szCs w:val="24"/>
                <w:u w:val="single"/>
              </w:rPr>
              <w:t>Third exam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of coursework (</w:t>
            </w:r>
            <w:r w:rsidRPr="004F75B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13%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  LO. 10, 11, 12, 13 &amp; 14.</w:t>
            </w:r>
          </w:p>
          <w:p w:rsidR="000909CF" w:rsidRDefault="000909CF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GoBack"/>
            <w:bookmarkEnd w:id="0"/>
          </w:p>
          <w:p w:rsidR="000909CF" w:rsidRDefault="000909CF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617358">
              <w:rPr>
                <w:rFonts w:asciiTheme="majorBidi" w:hAnsiTheme="majorBidi" w:cstheme="majorBidi"/>
                <w:sz w:val="24"/>
                <w:szCs w:val="24"/>
                <w:u w:val="single"/>
              </w:rPr>
              <w:t>Application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4F75B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10%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  <w:p w:rsidR="000909CF" w:rsidRPr="004F75B7" w:rsidRDefault="000909CF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 1, 2, 3, 4, 5, 6, 7, 8, 9, 10, 11, 12, 13 &amp;14.</w:t>
            </w:r>
          </w:p>
          <w:p w:rsidR="000909CF" w:rsidRPr="00291EEB" w:rsidRDefault="000909CF" w:rsidP="000909CF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909CF" w:rsidRPr="00856A2B" w:rsidRDefault="000909CF" w:rsidP="000909CF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856A2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Final Exam 40% (Unified Exam)</w:t>
            </w:r>
          </w:p>
          <w:p w:rsidR="000909CF" w:rsidRDefault="000909CF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91EEB">
              <w:rPr>
                <w:rFonts w:asciiTheme="majorBidi" w:hAnsiTheme="majorBidi" w:cstheme="majorBidi"/>
                <w:sz w:val="24"/>
                <w:szCs w:val="24"/>
              </w:rPr>
              <w:t>The final exam will assess the following learning outcomes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:rsidR="000909CF" w:rsidRPr="00291EEB" w:rsidRDefault="000909CF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LO. 1, 2, 3, 4, 5, 6, 7, 8, 9, 10, 11, 12, 13&amp;14.</w:t>
            </w:r>
          </w:p>
          <w:p w:rsidR="00291EEB" w:rsidRPr="00291EEB" w:rsidRDefault="00291EEB" w:rsidP="000909C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A30D8" w:rsidRPr="00F412A8" w:rsidTr="00291EEB">
        <w:tc>
          <w:tcPr>
            <w:tcW w:w="3708" w:type="dxa"/>
            <w:shd w:val="clear" w:color="auto" w:fill="DDD9C3" w:themeFill="background2" w:themeFillShade="E6"/>
          </w:tcPr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90" w:type="dxa"/>
            <w:shd w:val="clear" w:color="auto" w:fill="DDD9C3" w:themeFill="background2" w:themeFillShade="E6"/>
          </w:tcPr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717" w:type="dxa"/>
            <w:shd w:val="clear" w:color="auto" w:fill="DDD9C3" w:themeFill="background2" w:themeFillShade="E6"/>
          </w:tcPr>
          <w:p w:rsidR="00BA30D8" w:rsidRPr="00F412A8" w:rsidRDefault="00BA30D8" w:rsidP="00291EEB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BA30D8" w:rsidRPr="00F412A8" w:rsidRDefault="00BA30D8" w:rsidP="00291EEB">
      <w:pPr>
        <w:spacing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sectPr w:rsidR="00BA30D8" w:rsidRPr="00F412A8" w:rsidSect="00BA30D8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A30D8"/>
    <w:rsid w:val="000909CF"/>
    <w:rsid w:val="00275043"/>
    <w:rsid w:val="00291EEB"/>
    <w:rsid w:val="00376293"/>
    <w:rsid w:val="00BA30D8"/>
    <w:rsid w:val="00BC625A"/>
    <w:rsid w:val="00CC3F5F"/>
    <w:rsid w:val="00CF22FC"/>
    <w:rsid w:val="00F01B03"/>
    <w:rsid w:val="00F412A8"/>
    <w:rsid w:val="00FD1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raditional Arabic"/>
        <w:sz w:val="22"/>
        <w:szCs w:val="28"/>
        <w:lang w:val="en-US" w:eastAsia="en-US" w:bidi="ar-SA"/>
      </w:rPr>
    </w:rPrDefault>
    <w:pPrDefault>
      <w:pPr>
        <w:spacing w:after="12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Saleh</dc:creator>
  <cp:lastModifiedBy>Dr Saleh</cp:lastModifiedBy>
  <cp:revision>3</cp:revision>
  <dcterms:created xsi:type="dcterms:W3CDTF">2013-11-17T22:38:00Z</dcterms:created>
  <dcterms:modified xsi:type="dcterms:W3CDTF">2013-12-13T18:57:00Z</dcterms:modified>
</cp:coreProperties>
</file>