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66" w:rsidRDefault="00F20366" w:rsidP="00EA2348">
      <w:pPr>
        <w:pStyle w:val="Heading3"/>
        <w:ind w:left="6480" w:right="90"/>
        <w:jc w:val="right"/>
        <w:rPr>
          <w:rFonts w:ascii="Times New Roman" w:hAnsi="Times New Roman"/>
          <w:sz w:val="52"/>
        </w:rPr>
      </w:pPr>
      <w:r>
        <w:t xml:space="preserve">  </w:t>
      </w:r>
      <w:r>
        <w:rPr>
          <w:rFonts w:ascii="Times New Roman" w:hAnsi="Times New Roman"/>
          <w:sz w:val="52"/>
        </w:rPr>
        <w:t>Chapter 16</w:t>
      </w:r>
    </w:p>
    <w:p w:rsidR="00F20366" w:rsidRDefault="00F20366" w:rsidP="00EA2348">
      <w:pPr>
        <w:ind w:right="90"/>
        <w:jc w:val="right"/>
        <w:rPr>
          <w:sz w:val="36"/>
        </w:rPr>
      </w:pPr>
      <w:r>
        <w:rPr>
          <w:sz w:val="36"/>
        </w:rPr>
        <w:t>Closing</w:t>
      </w:r>
    </w:p>
    <w:p w:rsidR="00F20366" w:rsidRDefault="00356ADD" w:rsidP="00F20366">
      <w:pPr>
        <w:jc w:val="right"/>
        <w:rPr>
          <w:sz w:val="36"/>
        </w:rPr>
      </w:pPr>
      <w:r w:rsidRPr="00356ADD">
        <w:rPr>
          <w:noProof/>
        </w:rPr>
        <w:pict>
          <v:line id="_x0000_s1026" style="position:absolute;left:0;text-align:left;z-index:251660288" from="1.35pt,6.4pt" to="507.4pt,6.4pt" o:allowincell="f" strokeweight="3pt"/>
        </w:pict>
      </w:r>
    </w:p>
    <w:p w:rsidR="00F20366" w:rsidRDefault="00F20366" w:rsidP="00F20366">
      <w:pPr>
        <w:jc w:val="right"/>
        <w:rPr>
          <w:sz w:val="36"/>
        </w:rPr>
      </w:pPr>
    </w:p>
    <w:p w:rsidR="00F20366" w:rsidRDefault="00F20366" w:rsidP="00F20366">
      <w:pPr>
        <w:pStyle w:val="Heading1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Learning Objectives</w:t>
      </w:r>
    </w:p>
    <w:p w:rsidR="00F20366" w:rsidRDefault="00F20366" w:rsidP="00F20366">
      <w:r>
        <w:t>When you have completed this chapter you should be able to: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Understand the importance of formally closing projects</w:t>
      </w:r>
    </w:p>
    <w:p w:rsidR="00F20366" w:rsidRDefault="00F20366" w:rsidP="00F20366">
      <w:pPr>
        <w:pStyle w:val="TOC1"/>
      </w:pPr>
    </w:p>
    <w:p w:rsidR="00F20366" w:rsidRDefault="00F20366" w:rsidP="00F20366">
      <w:pPr>
        <w:numPr>
          <w:ilvl w:val="0"/>
          <w:numId w:val="1"/>
        </w:numPr>
      </w:pPr>
      <w:r>
        <w:t>Discuss the closing processes and outputs and how they were used on ResNet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Describe the tools and techniques used to aid in project closing on ResNet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Explain how NWA measured the business benefits of ResNet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 xml:space="preserve">Describe the methodology and findings in the ResNet final audit report 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Discuss the lessons learned from the ResNet projects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See how NWA continues to enhance ResNet and develop the discipline of project management in the 21</w:t>
      </w:r>
      <w:r>
        <w:rPr>
          <w:vertAlign w:val="superscript"/>
        </w:rPr>
        <w:t>st</w:t>
      </w:r>
      <w:r>
        <w:t xml:space="preserve"> century</w:t>
      </w:r>
    </w:p>
    <w:p w:rsidR="00F20366" w:rsidRDefault="00F20366" w:rsidP="00F20366"/>
    <w:p w:rsidR="00F20366" w:rsidRDefault="00F20366" w:rsidP="00F20366">
      <w:pPr>
        <w:numPr>
          <w:ilvl w:val="0"/>
          <w:numId w:val="1"/>
        </w:numPr>
      </w:pPr>
      <w:r>
        <w:t>Relate some of the closing events in ResNet with concepts described in previous chapters.</w:t>
      </w:r>
    </w:p>
    <w:p w:rsidR="00F20366" w:rsidRDefault="00F20366" w:rsidP="00F20366"/>
    <w:p w:rsidR="00F20366" w:rsidRDefault="00F20366" w:rsidP="00F20366">
      <w:pPr>
        <w:pStyle w:val="Heading1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Chapter Outline</w:t>
      </w:r>
    </w:p>
    <w:p w:rsidR="00F20366" w:rsidRDefault="00F20366" w:rsidP="00F20366">
      <w:pPr>
        <w:rPr>
          <w:b/>
        </w:rPr>
      </w:pPr>
      <w:r>
        <w:rPr>
          <w:b/>
        </w:rPr>
        <w:t>What Is Involved in Closing Projects?</w:t>
      </w:r>
    </w:p>
    <w:p w:rsidR="00F20366" w:rsidRDefault="00F20366" w:rsidP="00F20366">
      <w:pPr>
        <w:rPr>
          <w:b/>
        </w:rPr>
      </w:pPr>
      <w:r>
        <w:rPr>
          <w:b/>
        </w:rPr>
        <w:t>Administrative Closure</w:t>
      </w:r>
    </w:p>
    <w:p w:rsidR="00F20366" w:rsidRDefault="00F20366" w:rsidP="00F20366">
      <w:pPr>
        <w:rPr>
          <w:b/>
        </w:rPr>
      </w:pPr>
      <w:r>
        <w:rPr>
          <w:b/>
        </w:rPr>
        <w:t>ResNet Audit</w:t>
      </w:r>
    </w:p>
    <w:p w:rsidR="00F20366" w:rsidRDefault="00F20366" w:rsidP="00F20366">
      <w:pPr>
        <w:rPr>
          <w:b/>
        </w:rPr>
      </w:pPr>
      <w:r>
        <w:rPr>
          <w:b/>
        </w:rPr>
        <w:t>ResNet Final Recognition Party and Personnel Transition</w:t>
      </w:r>
    </w:p>
    <w:p w:rsidR="00F20366" w:rsidRDefault="00F20366" w:rsidP="00F20366">
      <w:pPr>
        <w:rPr>
          <w:b/>
        </w:rPr>
      </w:pPr>
      <w:r>
        <w:rPr>
          <w:b/>
        </w:rPr>
        <w:t>Lessons Learned</w:t>
      </w:r>
    </w:p>
    <w:p w:rsidR="00F20366" w:rsidRDefault="00F20366" w:rsidP="00F20366">
      <w:pPr>
        <w:rPr>
          <w:b/>
        </w:rPr>
      </w:pPr>
      <w:r>
        <w:rPr>
          <w:b/>
        </w:rPr>
        <w:t>ResNet+</w:t>
      </w:r>
    </w:p>
    <w:p w:rsidR="00684B51" w:rsidRDefault="00F20366" w:rsidP="00684B51">
      <w:pPr>
        <w:rPr>
          <w:b/>
        </w:rPr>
      </w:pPr>
      <w:r>
        <w:rPr>
          <w:b/>
        </w:rPr>
        <w:t>ResNet+ and Project Management at NWA in the 21</w:t>
      </w:r>
      <w:r>
        <w:rPr>
          <w:b/>
          <w:vertAlign w:val="superscript"/>
        </w:rPr>
        <w:t>st</w:t>
      </w:r>
      <w:r>
        <w:rPr>
          <w:b/>
        </w:rPr>
        <w:t xml:space="preserve"> Century</w:t>
      </w: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b/>
        </w:rPr>
      </w:pPr>
    </w:p>
    <w:p w:rsidR="00684B51" w:rsidRDefault="00684B51" w:rsidP="00684B51">
      <w:pPr>
        <w:rPr>
          <w:sz w:val="36"/>
        </w:rPr>
      </w:pPr>
    </w:p>
    <w:p w:rsidR="00684B51" w:rsidRDefault="00684B51" w:rsidP="00684B51">
      <w:pPr>
        <w:rPr>
          <w:sz w:val="36"/>
        </w:rPr>
      </w:pPr>
    </w:p>
    <w:p w:rsidR="00F20366" w:rsidRPr="00684B51" w:rsidRDefault="00F20366" w:rsidP="00684B51">
      <w:pPr>
        <w:jc w:val="center"/>
        <w:rPr>
          <w:b/>
          <w:u w:val="single"/>
        </w:rPr>
      </w:pPr>
      <w:r w:rsidRPr="00684B51">
        <w:rPr>
          <w:b/>
          <w:sz w:val="36"/>
          <w:u w:val="single"/>
        </w:rPr>
        <w:lastRenderedPageBreak/>
        <w:t>Lecture Notes</w:t>
      </w:r>
    </w:p>
    <w:p w:rsidR="00F20366" w:rsidRPr="00684B51" w:rsidRDefault="00F20366" w:rsidP="00F20366">
      <w:pPr>
        <w:pStyle w:val="Heading2"/>
        <w:rPr>
          <w:rFonts w:ascii="Times New Roman" w:hAnsi="Times New Roman"/>
        </w:rPr>
      </w:pPr>
      <w:r w:rsidRPr="00684B51">
        <w:rPr>
          <w:rFonts w:ascii="Times New Roman" w:hAnsi="Times New Roman"/>
        </w:rPr>
        <w:t>What Is Involved in Closing Projects?</w:t>
      </w:r>
    </w:p>
    <w:p w:rsidR="00F20366" w:rsidRDefault="00F20366" w:rsidP="005C376B">
      <w:pPr>
        <w:spacing w:line="360" w:lineRule="auto"/>
        <w:jc w:val="both"/>
      </w:pPr>
      <w:r>
        <w:t xml:space="preserve">Table 16-1 summarizes the knowledge areas, processes, and outputs of project closing. </w:t>
      </w:r>
      <w:r w:rsidR="003B54FD">
        <w:t>T</w:t>
      </w:r>
      <w:r>
        <w:t xml:space="preserve">he </w:t>
      </w:r>
      <w:r w:rsidR="005C376B">
        <w:t>importances of closing project even</w:t>
      </w:r>
      <w:r>
        <w:t xml:space="preserve"> those that are not completed or not successful.  Learning from past projects helps ensure the success of future projects.</w:t>
      </w:r>
    </w:p>
    <w:p w:rsidR="004A5834" w:rsidRDefault="004A5834" w:rsidP="003B54FD">
      <w:pPr>
        <w:jc w:val="both"/>
      </w:pPr>
    </w:p>
    <w:p w:rsidR="00B62EAA" w:rsidRPr="004A5834" w:rsidRDefault="009C0658" w:rsidP="003B54FD">
      <w:pPr>
        <w:numPr>
          <w:ilvl w:val="0"/>
          <w:numId w:val="8"/>
        </w:numPr>
        <w:spacing w:line="360" w:lineRule="auto"/>
        <w:jc w:val="both"/>
      </w:pPr>
      <w:r w:rsidRPr="004A5834">
        <w:t>Closing processes include gaining stakeholder acceptance of the final product and bringing the project or phase to an orderly end</w:t>
      </w:r>
    </w:p>
    <w:p w:rsidR="00B62EAA" w:rsidRPr="004A5834" w:rsidRDefault="009C0658" w:rsidP="003B54FD">
      <w:pPr>
        <w:numPr>
          <w:ilvl w:val="0"/>
          <w:numId w:val="8"/>
        </w:numPr>
        <w:spacing w:line="360" w:lineRule="auto"/>
        <w:jc w:val="both"/>
      </w:pPr>
      <w:r w:rsidRPr="004A5834">
        <w:t>Closing verifies that all of the deliverables have been completed</w:t>
      </w:r>
    </w:p>
    <w:p w:rsidR="00B62EAA" w:rsidRPr="004A5834" w:rsidRDefault="009C0658" w:rsidP="003B54FD">
      <w:pPr>
        <w:numPr>
          <w:ilvl w:val="0"/>
          <w:numId w:val="8"/>
        </w:numPr>
        <w:spacing w:line="360" w:lineRule="auto"/>
        <w:jc w:val="both"/>
      </w:pPr>
      <w:r w:rsidRPr="004A5834">
        <w:t>A project audit is often done</w:t>
      </w:r>
    </w:p>
    <w:p w:rsidR="004A5834" w:rsidRDefault="004A5834" w:rsidP="003B54FD">
      <w:pPr>
        <w:jc w:val="both"/>
      </w:pPr>
    </w:p>
    <w:p w:rsidR="004A5834" w:rsidRDefault="004A5834" w:rsidP="00F20366">
      <w:pPr>
        <w:pStyle w:val="Heading2"/>
        <w:rPr>
          <w:rFonts w:ascii="Times New Roman" w:hAnsi="Times New Roman"/>
        </w:rPr>
      </w:pPr>
      <w:r w:rsidRPr="004A5834">
        <w:rPr>
          <w:rFonts w:ascii="Times New Roman" w:hAnsi="Times New Roman"/>
        </w:rPr>
        <w:t>Transition Planning</w:t>
      </w:r>
    </w:p>
    <w:p w:rsidR="00B62EAA" w:rsidRPr="004A5834" w:rsidRDefault="009C0658" w:rsidP="004A5834">
      <w:pPr>
        <w:pStyle w:val="Heading2"/>
        <w:numPr>
          <w:ilvl w:val="0"/>
          <w:numId w:val="7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It is important to plan for and execute a smooth transition of the project into the normal operations of the company</w:t>
      </w:r>
    </w:p>
    <w:p w:rsidR="00B62EAA" w:rsidRPr="004A5834" w:rsidRDefault="009C0658" w:rsidP="004A5834">
      <w:pPr>
        <w:pStyle w:val="Heading2"/>
        <w:numPr>
          <w:ilvl w:val="0"/>
          <w:numId w:val="7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Most projects produce results that are integrated into the existing organizational structure</w:t>
      </w:r>
    </w:p>
    <w:p w:rsidR="00B62EAA" w:rsidRPr="004A5834" w:rsidRDefault="009C0658" w:rsidP="004A5834">
      <w:pPr>
        <w:pStyle w:val="Heading2"/>
        <w:numPr>
          <w:ilvl w:val="0"/>
          <w:numId w:val="7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Some projects require the addition of new organizational structures</w:t>
      </w:r>
    </w:p>
    <w:p w:rsidR="00B62EAA" w:rsidRPr="004A5834" w:rsidRDefault="009C0658" w:rsidP="004A5834">
      <w:pPr>
        <w:pStyle w:val="Heading2"/>
        <w:numPr>
          <w:ilvl w:val="0"/>
          <w:numId w:val="7"/>
        </w:numPr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Some projects end by extinction or starvation</w:t>
      </w:r>
    </w:p>
    <w:p w:rsidR="004A5834" w:rsidRDefault="004A5834" w:rsidP="00F20366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</w:p>
    <w:p w:rsidR="004A5834" w:rsidRDefault="004A5834" w:rsidP="00B23E14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0" w:color="auto"/>
        </w:pBdr>
        <w:ind w:right="990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Table 16-1. Closing Processes and Outputs</w:t>
      </w:r>
    </w:p>
    <w:p w:rsidR="004A5834" w:rsidRDefault="004A5834" w:rsidP="00B23E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0" w:color="auto"/>
        </w:pBdr>
        <w:ind w:right="990"/>
      </w:pPr>
    </w:p>
    <w:p w:rsidR="004A5834" w:rsidRPr="004A5834" w:rsidRDefault="004A5834" w:rsidP="00B23E1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0" w:color="auto"/>
        </w:pBdr>
        <w:ind w:right="990"/>
      </w:pPr>
      <w:r w:rsidRPr="003B54FD">
        <w:rPr>
          <w:noProof/>
          <w:bdr w:val="single" w:sz="4" w:space="0" w:color="auto"/>
        </w:rPr>
        <w:drawing>
          <wp:inline distT="0" distB="0" distL="0" distR="0">
            <wp:extent cx="6217849" cy="1301868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92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550" cy="130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A5834" w:rsidRDefault="004A5834" w:rsidP="00F20366">
      <w:pPr>
        <w:pStyle w:val="Heading2"/>
        <w:rPr>
          <w:rFonts w:ascii="Times New Roman" w:hAnsi="Times New Roman"/>
        </w:rPr>
      </w:pPr>
    </w:p>
    <w:p w:rsidR="00F20366" w:rsidRPr="00684B51" w:rsidRDefault="00F20366" w:rsidP="00F20366">
      <w:pPr>
        <w:pStyle w:val="Heading2"/>
        <w:rPr>
          <w:rFonts w:ascii="Times New Roman" w:hAnsi="Times New Roman"/>
        </w:rPr>
      </w:pPr>
      <w:r w:rsidRPr="00684B51">
        <w:rPr>
          <w:rFonts w:ascii="Times New Roman" w:hAnsi="Times New Roman"/>
        </w:rPr>
        <w:t>Administrative Closure</w:t>
      </w:r>
    </w:p>
    <w:p w:rsidR="00F20366" w:rsidRDefault="00F20366" w:rsidP="00A84074">
      <w:pPr>
        <w:spacing w:line="360" w:lineRule="auto"/>
        <w:ind w:right="540"/>
        <w:jc w:val="both"/>
      </w:pPr>
      <w:r>
        <w:t>An important part of administrative closure is verifying and documenting project results.  Table 16-2 summarizes the ResNet benefits at a March 1996 benefits review.  Note the 4.4 percent reduction in call handle time and 6.0 percent increase in direct ticket sales.</w:t>
      </w:r>
    </w:p>
    <w:p w:rsidR="004A5834" w:rsidRDefault="004A5834" w:rsidP="00A84074">
      <w:pPr>
        <w:spacing w:line="360" w:lineRule="auto"/>
        <w:ind w:right="540"/>
        <w:jc w:val="both"/>
      </w:pPr>
    </w:p>
    <w:p w:rsidR="00B62EAA" w:rsidRPr="004A5834" w:rsidRDefault="009C0658" w:rsidP="00A84074">
      <w:pPr>
        <w:numPr>
          <w:ilvl w:val="0"/>
          <w:numId w:val="9"/>
        </w:numPr>
        <w:spacing w:line="360" w:lineRule="auto"/>
      </w:pPr>
      <w:r w:rsidRPr="004A5834">
        <w:lastRenderedPageBreak/>
        <w:t>Administrative closure involves</w:t>
      </w:r>
    </w:p>
    <w:p w:rsidR="00B62EAA" w:rsidRPr="004A5834" w:rsidRDefault="009C0658" w:rsidP="00A84074">
      <w:pPr>
        <w:numPr>
          <w:ilvl w:val="1"/>
          <w:numId w:val="9"/>
        </w:numPr>
        <w:spacing w:line="360" w:lineRule="auto"/>
      </w:pPr>
      <w:r w:rsidRPr="004A5834">
        <w:t>verifying and documenting project results to formalize acceptance of the products produced</w:t>
      </w:r>
    </w:p>
    <w:p w:rsidR="00B62EAA" w:rsidRPr="004A5834" w:rsidRDefault="009C0658" w:rsidP="00A84074">
      <w:pPr>
        <w:numPr>
          <w:ilvl w:val="1"/>
          <w:numId w:val="9"/>
        </w:numPr>
        <w:spacing w:line="360" w:lineRule="auto"/>
      </w:pPr>
      <w:r w:rsidRPr="004A5834">
        <w:t>collecting project records</w:t>
      </w:r>
    </w:p>
    <w:p w:rsidR="00B62EAA" w:rsidRPr="004A5834" w:rsidRDefault="009C0658" w:rsidP="00A84074">
      <w:pPr>
        <w:numPr>
          <w:ilvl w:val="1"/>
          <w:numId w:val="9"/>
        </w:numPr>
        <w:spacing w:line="360" w:lineRule="auto"/>
      </w:pPr>
      <w:r w:rsidRPr="004A5834">
        <w:t>ensuring products meet specifications</w:t>
      </w:r>
    </w:p>
    <w:p w:rsidR="00B62EAA" w:rsidRPr="004A5834" w:rsidRDefault="009C0658" w:rsidP="00A84074">
      <w:pPr>
        <w:numPr>
          <w:ilvl w:val="1"/>
          <w:numId w:val="9"/>
        </w:numPr>
        <w:spacing w:line="360" w:lineRule="auto"/>
      </w:pPr>
      <w:r w:rsidRPr="004A5834">
        <w:t>analyzing whether the project was successful and effective</w:t>
      </w:r>
    </w:p>
    <w:p w:rsidR="00B62EAA" w:rsidRPr="004A5834" w:rsidRDefault="009C0658" w:rsidP="00A84074">
      <w:pPr>
        <w:numPr>
          <w:ilvl w:val="1"/>
          <w:numId w:val="9"/>
        </w:numPr>
        <w:spacing w:line="360" w:lineRule="auto"/>
      </w:pPr>
      <w:r w:rsidRPr="004A5834">
        <w:t>archiving project information for future use</w:t>
      </w:r>
    </w:p>
    <w:p w:rsidR="00B62EAA" w:rsidRPr="004A5834" w:rsidRDefault="009C0658" w:rsidP="00A84074">
      <w:pPr>
        <w:numPr>
          <w:ilvl w:val="0"/>
          <w:numId w:val="9"/>
        </w:numPr>
        <w:spacing w:line="360" w:lineRule="auto"/>
      </w:pPr>
      <w:r w:rsidRPr="004A5834">
        <w:t>NWA had several reviews of the benefits of ResNet</w:t>
      </w:r>
    </w:p>
    <w:p w:rsidR="004A5834" w:rsidRDefault="004A5834" w:rsidP="00F20366"/>
    <w:p w:rsidR="00F20366" w:rsidRPr="00684B51" w:rsidRDefault="00F20366" w:rsidP="00F20366">
      <w:pPr>
        <w:pStyle w:val="Heading2"/>
        <w:rPr>
          <w:rFonts w:ascii="Times New Roman" w:hAnsi="Times New Roman"/>
        </w:rPr>
      </w:pPr>
      <w:r w:rsidRPr="00684B51">
        <w:rPr>
          <w:rFonts w:ascii="Times New Roman" w:hAnsi="Times New Roman"/>
        </w:rPr>
        <w:t>ResNet Audit</w:t>
      </w:r>
    </w:p>
    <w:p w:rsidR="00F20366" w:rsidRDefault="00F20366" w:rsidP="005078A1">
      <w:pPr>
        <w:spacing w:line="360" w:lineRule="auto"/>
        <w:jc w:val="both"/>
      </w:pPr>
      <w:r>
        <w:t xml:space="preserve">Several projects have a project audit.  Audits can be done throughout the life of a project.  The results here show the final ResNet audit.  </w:t>
      </w:r>
    </w:p>
    <w:p w:rsidR="00B62EAA" w:rsidRPr="004A5834" w:rsidRDefault="009C0658" w:rsidP="004130E5">
      <w:pPr>
        <w:numPr>
          <w:ilvl w:val="0"/>
          <w:numId w:val="10"/>
        </w:numPr>
        <w:spacing w:line="360" w:lineRule="auto"/>
      </w:pPr>
      <w:r w:rsidRPr="004A5834">
        <w:t>A formal audit was completed on December 10, 1996</w:t>
      </w:r>
    </w:p>
    <w:p w:rsidR="00B62EAA" w:rsidRPr="004A5834" w:rsidRDefault="009C0658" w:rsidP="004130E5">
      <w:pPr>
        <w:numPr>
          <w:ilvl w:val="0"/>
          <w:numId w:val="10"/>
        </w:numPr>
        <w:spacing w:line="360" w:lineRule="auto"/>
      </w:pPr>
      <w:r w:rsidRPr="004A5834">
        <w:t>Two main questions addressed:</w:t>
      </w:r>
    </w:p>
    <w:p w:rsidR="00B62EAA" w:rsidRPr="004A5834" w:rsidRDefault="009C0658" w:rsidP="004130E5">
      <w:pPr>
        <w:numPr>
          <w:ilvl w:val="1"/>
          <w:numId w:val="10"/>
        </w:numPr>
        <w:spacing w:line="360" w:lineRule="auto"/>
      </w:pPr>
      <w:r w:rsidRPr="004A5834">
        <w:t>What benefits, in terms of selling and call handle time, have been realized by the Reservations Department as a result of ResNet</w:t>
      </w:r>
    </w:p>
    <w:p w:rsidR="005078A1" w:rsidRDefault="009C0658" w:rsidP="004130E5">
      <w:pPr>
        <w:numPr>
          <w:ilvl w:val="1"/>
          <w:numId w:val="10"/>
        </w:numPr>
        <w:spacing w:line="360" w:lineRule="auto"/>
      </w:pPr>
      <w:r w:rsidRPr="004A5834">
        <w:t>How do those real results compare with projected results in the PR2 plan?</w:t>
      </w:r>
    </w:p>
    <w:p w:rsidR="005078A1" w:rsidRDefault="005078A1" w:rsidP="005078A1"/>
    <w:p w:rsidR="005078A1" w:rsidRDefault="005078A1" w:rsidP="005078A1">
      <w:pPr>
        <w:pStyle w:val="Heading2"/>
        <w:rPr>
          <w:rFonts w:ascii="Times New Roman" w:hAnsi="Times New Roman"/>
        </w:rPr>
      </w:pPr>
      <w:r w:rsidRPr="004A5834">
        <w:rPr>
          <w:rFonts w:ascii="Times New Roman" w:hAnsi="Times New Roman"/>
        </w:rPr>
        <w:t>Audit Answers to Questions</w:t>
      </w:r>
    </w:p>
    <w:p w:rsidR="005078A1" w:rsidRPr="004A5834" w:rsidRDefault="005078A1" w:rsidP="005078A1">
      <w:pPr>
        <w:pStyle w:val="Heading2"/>
        <w:numPr>
          <w:ilvl w:val="0"/>
          <w:numId w:val="11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The Reservations Department has significantly increased selling as a result of management leadership, the market environment, and the opportunities provided by ResNet as a selling tool</w:t>
      </w:r>
    </w:p>
    <w:p w:rsidR="005078A1" w:rsidRPr="004A5834" w:rsidRDefault="005078A1" w:rsidP="005078A1">
      <w:pPr>
        <w:pStyle w:val="Heading2"/>
        <w:numPr>
          <w:ilvl w:val="0"/>
          <w:numId w:val="11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 xml:space="preserve">While increased selling, new hires, E-ticket sales, and other factors have increased Reservations' average call handle time for 1996, statistics support a handle time benefit from ResNet conversion  </w:t>
      </w:r>
    </w:p>
    <w:p w:rsidR="005078A1" w:rsidRPr="004A5834" w:rsidRDefault="005078A1" w:rsidP="005078A1">
      <w:pPr>
        <w:pStyle w:val="Heading2"/>
        <w:numPr>
          <w:ilvl w:val="0"/>
          <w:numId w:val="11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Of the two items audited, the higher than expected increase in selling compensated for the shortfall in call handle time, resulting in a net gain of $0.8 million to Northwest Airlines in 1996 versus the PR-2 projections.</w:t>
      </w:r>
    </w:p>
    <w:p w:rsidR="005078A1" w:rsidRDefault="005078A1" w:rsidP="005078A1">
      <w:pPr>
        <w:pStyle w:val="Heading2"/>
        <w:rPr>
          <w:rFonts w:ascii="Times New Roman" w:hAnsi="Times New Roman"/>
        </w:rPr>
      </w:pPr>
      <w:r w:rsidRPr="004A5834">
        <w:rPr>
          <w:rFonts w:ascii="Times New Roman" w:hAnsi="Times New Roman"/>
        </w:rPr>
        <w:t>Final Audit Report Results</w:t>
      </w:r>
    </w:p>
    <w:p w:rsidR="005078A1" w:rsidRPr="004A5834" w:rsidRDefault="005078A1" w:rsidP="005078A1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ResNet greatly surpassed expectation</w:t>
      </w:r>
    </w:p>
    <w:p w:rsidR="005078A1" w:rsidRPr="004A5834" w:rsidRDefault="005078A1" w:rsidP="005078A1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ResNet increased direct sales by 17.7% versus the planned 5.5%</w:t>
      </w:r>
    </w:p>
    <w:p w:rsidR="005078A1" w:rsidRPr="004A5834" w:rsidRDefault="005078A1" w:rsidP="005078A1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This increase in direct sales meant an additional $2.3 million in 1996 commission savings</w:t>
      </w:r>
    </w:p>
    <w:p w:rsidR="005078A1" w:rsidRPr="004A5834" w:rsidRDefault="005078A1" w:rsidP="005078A1">
      <w:pPr>
        <w:pStyle w:val="Heading2"/>
        <w:numPr>
          <w:ilvl w:val="0"/>
          <w:numId w:val="12"/>
        </w:numPr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A5834">
        <w:rPr>
          <w:rFonts w:ascii="Times New Roman" w:hAnsi="Times New Roman"/>
          <w:b w:val="0"/>
          <w:i w:val="0"/>
          <w:sz w:val="24"/>
          <w:szCs w:val="24"/>
        </w:rPr>
        <w:t>In its first year of operation, ResNet saved Northwest Airlines over $15 million, and savings were over $33 million in the second year</w:t>
      </w:r>
      <w:r w:rsidR="00812BB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5078A1" w:rsidRDefault="005078A1" w:rsidP="005078A1">
      <w:pPr>
        <w:tabs>
          <w:tab w:val="left" w:pos="1345"/>
        </w:tabs>
      </w:pPr>
      <w:r>
        <w:tab/>
      </w:r>
    </w:p>
    <w:p w:rsidR="00F20366" w:rsidRPr="00684B51" w:rsidRDefault="004A5834" w:rsidP="005078A1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F20366" w:rsidRPr="00684B51">
        <w:rPr>
          <w:rFonts w:ascii="Times New Roman" w:hAnsi="Times New Roman"/>
        </w:rPr>
        <w:t>Lessons Learned</w:t>
      </w:r>
    </w:p>
    <w:p w:rsidR="00F20366" w:rsidRDefault="00F20366" w:rsidP="004130E5">
      <w:pPr>
        <w:ind w:right="540"/>
        <w:jc w:val="both"/>
      </w:pPr>
      <w:r>
        <w:t>The ResNet team did not write their lessons learned.  This information was gathered from interviews with Peeter, Arvid, and Kathy in order to write these chapters.</w:t>
      </w:r>
    </w:p>
    <w:p w:rsidR="00B62EAA" w:rsidRPr="00070B1F" w:rsidRDefault="009C0658" w:rsidP="004130E5">
      <w:pPr>
        <w:pStyle w:val="Heading2"/>
        <w:numPr>
          <w:ilvl w:val="0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Although the ResNet team did not write any formal lessons learned, Peeter, Kathy, and Arvid shared the following advice: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Let workers have fun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Beginnings are important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Top management support is critical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Managing change is 50% of project management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Make management reviews interactive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Set realistic milestone dates, and then stick to the schedule as much as possible</w:t>
      </w:r>
    </w:p>
    <w:p w:rsidR="00B62EAA" w:rsidRPr="00070B1F" w:rsidRDefault="009C0658" w:rsidP="004130E5">
      <w:pPr>
        <w:pStyle w:val="Heading2"/>
        <w:numPr>
          <w:ilvl w:val="1"/>
          <w:numId w:val="15"/>
        </w:numPr>
        <w:ind w:right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070B1F">
        <w:rPr>
          <w:rFonts w:ascii="Times New Roman" w:hAnsi="Times New Roman"/>
          <w:b w:val="0"/>
          <w:i w:val="0"/>
          <w:sz w:val="24"/>
          <w:szCs w:val="24"/>
        </w:rPr>
        <w:t>Plan at a workable level</w:t>
      </w:r>
    </w:p>
    <w:p w:rsidR="00070B1F" w:rsidRPr="00070B1F" w:rsidRDefault="00070B1F" w:rsidP="00F20366">
      <w:pPr>
        <w:pStyle w:val="Heading2"/>
        <w:rPr>
          <w:rFonts w:ascii="Times New Roman" w:hAnsi="Times New Roman"/>
          <w:b w:val="0"/>
          <w:i w:val="0"/>
        </w:rPr>
      </w:pPr>
    </w:p>
    <w:sectPr w:rsidR="00070B1F" w:rsidRPr="00070B1F" w:rsidSect="004130E5">
      <w:footerReference w:type="default" r:id="rId8"/>
      <w:pgSz w:w="12240" w:h="15840"/>
      <w:pgMar w:top="720" w:right="135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51B" w:rsidRDefault="0038151B" w:rsidP="00684B51">
      <w:r>
        <w:separator/>
      </w:r>
    </w:p>
  </w:endnote>
  <w:endnote w:type="continuationSeparator" w:id="1">
    <w:p w:rsidR="0038151B" w:rsidRDefault="0038151B" w:rsidP="00684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438"/>
      <w:docPartObj>
        <w:docPartGallery w:val="Page Numbers (Bottom of Page)"/>
        <w:docPartUnique/>
      </w:docPartObj>
    </w:sdtPr>
    <w:sdtContent>
      <w:p w:rsidR="00684B51" w:rsidRDefault="00356ADD">
        <w:pPr>
          <w:pStyle w:val="Footer"/>
          <w:jc w:val="center"/>
        </w:pPr>
        <w:fldSimple w:instr=" PAGE   \* MERGEFORMAT ">
          <w:r w:rsidR="00812BB6">
            <w:rPr>
              <w:noProof/>
            </w:rPr>
            <w:t>1</w:t>
          </w:r>
        </w:fldSimple>
      </w:p>
    </w:sdtContent>
  </w:sdt>
  <w:p w:rsidR="00684B51" w:rsidRDefault="00684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51B" w:rsidRDefault="0038151B" w:rsidP="00684B51">
      <w:r>
        <w:separator/>
      </w:r>
    </w:p>
  </w:footnote>
  <w:footnote w:type="continuationSeparator" w:id="1">
    <w:p w:rsidR="0038151B" w:rsidRDefault="0038151B" w:rsidP="00684B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4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52498E"/>
    <w:multiLevelType w:val="hybridMultilevel"/>
    <w:tmpl w:val="151AE242"/>
    <w:lvl w:ilvl="0" w:tplc="A2CC1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2A5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B0D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26F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485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44A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C28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61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40E9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CC6181A"/>
    <w:multiLevelType w:val="hybridMultilevel"/>
    <w:tmpl w:val="C53C04E6"/>
    <w:lvl w:ilvl="0" w:tplc="52CCE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6EE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245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764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46E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761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9AB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B23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C5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1F0EF2"/>
    <w:multiLevelType w:val="hybridMultilevel"/>
    <w:tmpl w:val="FC944A54"/>
    <w:lvl w:ilvl="0" w:tplc="0EAA0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EB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786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043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22D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FE5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A6B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BC3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D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8DD5F4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EFB1CF6"/>
    <w:multiLevelType w:val="hybridMultilevel"/>
    <w:tmpl w:val="91F4D2A2"/>
    <w:lvl w:ilvl="0" w:tplc="449CA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166466">
      <w:start w:val="21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9C6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D8D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C81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C8B5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329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0B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98B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1115C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64036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BD871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3C32BCD"/>
    <w:multiLevelType w:val="hybridMultilevel"/>
    <w:tmpl w:val="2C0C17A6"/>
    <w:lvl w:ilvl="0" w:tplc="8A66D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824644">
      <w:start w:val="16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748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1C8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7CB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32D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9E6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CC2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6A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D4C0714"/>
    <w:multiLevelType w:val="hybridMultilevel"/>
    <w:tmpl w:val="897CCCC0"/>
    <w:lvl w:ilvl="0" w:tplc="5A62B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C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E2F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A45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AAF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10E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A07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1C6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902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F1306B"/>
    <w:multiLevelType w:val="hybridMultilevel"/>
    <w:tmpl w:val="588419A8"/>
    <w:lvl w:ilvl="0" w:tplc="9D6CC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96ED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300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74A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F88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A05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9CDA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6AA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283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205314A"/>
    <w:multiLevelType w:val="hybridMultilevel"/>
    <w:tmpl w:val="57F262F2"/>
    <w:lvl w:ilvl="0" w:tplc="7E2AA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125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5CF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C29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B24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EB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5E5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621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701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8B94CDA"/>
    <w:multiLevelType w:val="hybridMultilevel"/>
    <w:tmpl w:val="1FB819AC"/>
    <w:lvl w:ilvl="0" w:tplc="368AC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26046E">
      <w:start w:val="21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AE9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92D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BEB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52A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80A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240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DCC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B7B77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3"/>
  </w:num>
  <w:num w:numId="11">
    <w:abstractNumId w:val="12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F20366"/>
    <w:rsid w:val="00070B1F"/>
    <w:rsid w:val="001D609B"/>
    <w:rsid w:val="002D7BFD"/>
    <w:rsid w:val="002E5600"/>
    <w:rsid w:val="00356ADD"/>
    <w:rsid w:val="0038151B"/>
    <w:rsid w:val="003B54FD"/>
    <w:rsid w:val="004130E5"/>
    <w:rsid w:val="004A5834"/>
    <w:rsid w:val="005078A1"/>
    <w:rsid w:val="00517690"/>
    <w:rsid w:val="00541912"/>
    <w:rsid w:val="00587778"/>
    <w:rsid w:val="005C376B"/>
    <w:rsid w:val="005C6087"/>
    <w:rsid w:val="00647338"/>
    <w:rsid w:val="00684B51"/>
    <w:rsid w:val="00741FF0"/>
    <w:rsid w:val="00812BB6"/>
    <w:rsid w:val="009C0658"/>
    <w:rsid w:val="00A34394"/>
    <w:rsid w:val="00A84074"/>
    <w:rsid w:val="00AE75CA"/>
    <w:rsid w:val="00B23E14"/>
    <w:rsid w:val="00B62EAA"/>
    <w:rsid w:val="00BA0E23"/>
    <w:rsid w:val="00BD3550"/>
    <w:rsid w:val="00BF006B"/>
    <w:rsid w:val="00E55B3A"/>
    <w:rsid w:val="00EA2348"/>
    <w:rsid w:val="00EB1AEA"/>
    <w:rsid w:val="00F20366"/>
    <w:rsid w:val="00F22876"/>
    <w:rsid w:val="00F6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20366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F20366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F20366"/>
    <w:pPr>
      <w:keepNext/>
      <w:spacing w:before="240" w:after="60"/>
      <w:outlineLvl w:val="2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366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F20366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F20366"/>
    <w:rPr>
      <w:rFonts w:ascii="Arial" w:eastAsia="Times New Roman" w:hAnsi="Arial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F20366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F20366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03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36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4B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B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4B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B5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184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9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8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8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1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7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4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87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1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1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2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1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19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88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69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2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3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2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50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15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44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8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6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1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8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hkhan</cp:lastModifiedBy>
  <cp:revision>8</cp:revision>
  <dcterms:created xsi:type="dcterms:W3CDTF">2009-12-17T09:33:00Z</dcterms:created>
  <dcterms:modified xsi:type="dcterms:W3CDTF">2016-04-20T10:17:00Z</dcterms:modified>
</cp:coreProperties>
</file>