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محاسبة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SA"/>
              </w:rPr>
              <w:t>الضريبية والزكاة</w:t>
            </w:r>
          </w:p>
        </w:tc>
        <w:tc>
          <w:tcPr>
            <w:tcW w:w="3969" w:type="dxa"/>
          </w:tcPr>
          <w:p w:rsidR="001040D4" w:rsidRPr="00685424" w:rsidRDefault="001040D4" w:rsidP="006802F8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802F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3969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3 ساعات نظري 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5A3F69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3969" w:type="dxa"/>
          </w:tcPr>
          <w:p w:rsidR="001040D4" w:rsidRPr="00685424" w:rsidRDefault="001040D4" w:rsidP="00D93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5A3F69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مبنى2</w:t>
            </w:r>
            <w:proofErr w:type="spellEnd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قاعة (42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4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93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proofErr w:type="spellStart"/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الإثنين</w:t>
            </w:r>
            <w:proofErr w:type="spellEnd"/>
          </w:p>
        </w:tc>
        <w:tc>
          <w:tcPr>
            <w:tcW w:w="3969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وقت المحاضره:من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إلى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11</w:t>
            </w:r>
          </w:p>
        </w:tc>
      </w:tr>
      <w:tr w:rsidR="007D4CB1" w:rsidRPr="00685424" w:rsidTr="00263D4C">
        <w:tc>
          <w:tcPr>
            <w:tcW w:w="9072" w:type="dxa"/>
            <w:gridSpan w:val="2"/>
          </w:tcPr>
          <w:p w:rsidR="007D4CB1" w:rsidRDefault="007D4CB1" w:rsidP="007D4CB1">
            <w:pPr>
              <w:spacing w:line="360" w:lineRule="auto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FE0E36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الضريبية قواعدها وأسسها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تحديد الوعاء الضريبي وهيكل ضريبة الدخل في المملكة العربية السعودية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بمفهوم الزكاة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واهمية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هذة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الفريضة وشروطها </w:t>
            </w:r>
          </w:p>
        </w:tc>
      </w:tr>
      <w:tr w:rsidR="001040D4" w:rsidRPr="00C045C6" w:rsidTr="00770F9A">
        <w:trPr>
          <w:trHeight w:val="423"/>
        </w:trPr>
        <w:tc>
          <w:tcPr>
            <w:tcW w:w="9073" w:type="dxa"/>
          </w:tcPr>
          <w:p w:rsidR="001040D4" w:rsidRPr="00C045C6" w:rsidRDefault="007C56D3" w:rsidP="007D4CB1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قياس الوعاء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الزكوي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والاموال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الخاضعة للزكاة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</w:t>
            </w:r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بقواعد وأسس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الأدارة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الزكوية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والضريبية</w:t>
            </w:r>
            <w:r w:rsidRPr="00C045C6">
              <w:rPr>
                <w:rFonts w:asciiTheme="majorHAnsi" w:hAnsiTheme="majorHAnsi" w:cs="Arabic Transparent"/>
                <w:rtl/>
                <w:lang w:bidi="ar-JO"/>
              </w:rPr>
              <w:t>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الزكاة أحكام وتطبيق محاسبي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د/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31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2010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770F9A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المحاسبة الضريبية النظرية والتطبيق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Pr="00B55E38" w:rsidRDefault="00770F9A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د/سلطان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 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الطبعة الثالثة</w:t>
            </w:r>
          </w:p>
          <w:p w:rsidR="00770F9A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1425هـ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2004م)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894208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D93260">
        <w:rPr>
          <w:rFonts w:cs="Traditional Arabic" w:hint="cs"/>
          <w:sz w:val="28"/>
          <w:szCs w:val="28"/>
          <w:rtl/>
          <w:lang w:bidi="ar-SA"/>
        </w:rPr>
        <w:t xml:space="preserve"> إلا عند تقديم عذر التغيب عن موعد </w:t>
      </w:r>
      <w:proofErr w:type="spellStart"/>
      <w:r w:rsidR="00D93260"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5C567C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 </w:t>
            </w:r>
            <w:proofErr w:type="spellStart"/>
            <w:r w:rsidR="005C567C">
              <w:rPr>
                <w:rFonts w:ascii="Times New Roman" w:hAnsi="Times New Roman" w:cs="Traditional Arabic" w:hint="cs"/>
                <w:rtl/>
                <w:lang w:bidi="ar-SA"/>
              </w:rPr>
              <w:t>الإثنين</w:t>
            </w:r>
            <w:proofErr w:type="spellEnd"/>
          </w:p>
          <w:p w:rsidR="002E13A3" w:rsidRPr="009641DE" w:rsidRDefault="005A3F69" w:rsidP="005A3F69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21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6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 w:rsidR="00894208"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5C567C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</w:t>
            </w:r>
            <w:r w:rsidR="005C567C">
              <w:rPr>
                <w:rFonts w:cs="Traditional Arabic" w:hint="cs"/>
                <w:rtl/>
                <w:lang w:bidi="ar-JO"/>
              </w:rPr>
              <w:t xml:space="preserve"> </w:t>
            </w:r>
            <w:proofErr w:type="spellStart"/>
            <w:r w:rsidR="005C567C">
              <w:rPr>
                <w:rFonts w:cs="Traditional Arabic" w:hint="cs"/>
                <w:rtl/>
                <w:lang w:bidi="ar-JO"/>
              </w:rPr>
              <w:t>الإثنين</w:t>
            </w:r>
            <w:proofErr w:type="spellEnd"/>
          </w:p>
          <w:p w:rsidR="0095484B" w:rsidRPr="009641DE" w:rsidRDefault="005A3F69" w:rsidP="005A3F69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5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8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 w:rsidR="00E84C22">
              <w:rPr>
                <w:rFonts w:cs="Traditional Arabic" w:hint="cs"/>
                <w:rtl/>
                <w:lang w:bidi="ar-SA"/>
              </w:rPr>
              <w:t>143</w:t>
            </w:r>
            <w:r w:rsidR="00894208">
              <w:rPr>
                <w:rFonts w:cs="Traditional Arabic" w:hint="cs"/>
                <w:rtl/>
                <w:lang w:bidi="ar-SA"/>
              </w:rPr>
              <w:t>8</w:t>
            </w:r>
            <w:r w:rsidR="00E84C22">
              <w:rPr>
                <w:rFonts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5C567C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الواجبات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5C567C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تقرير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margin" w:tblpY="269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770F9A" w:rsidRPr="007A5FBA" w:rsidTr="00770F9A">
        <w:tc>
          <w:tcPr>
            <w:tcW w:w="179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770F9A" w:rsidRPr="007A5FBA" w:rsidTr="00770F9A">
        <w:trPr>
          <w:trHeight w:val="360"/>
        </w:trPr>
        <w:tc>
          <w:tcPr>
            <w:tcW w:w="1793" w:type="dxa"/>
          </w:tcPr>
          <w:p w:rsidR="00770F9A" w:rsidRPr="00FC2011" w:rsidRDefault="005A3F69" w:rsidP="005A3F69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9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5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770F9A" w:rsidRPr="007A5FBA" w:rsidTr="00770F9A">
        <w:trPr>
          <w:trHeight w:val="482"/>
        </w:trPr>
        <w:tc>
          <w:tcPr>
            <w:tcW w:w="1793" w:type="dxa"/>
          </w:tcPr>
          <w:p w:rsidR="00770F9A" w:rsidRPr="00FC2011" w:rsidRDefault="005A3F69" w:rsidP="005A3F69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16</w:t>
            </w:r>
            <w:r w:rsidR="00770F9A" w:rsidRPr="00FC2011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5</w:t>
            </w:r>
            <w:r w:rsidR="005C567C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حقيقة الزكاة وحكمتها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23</w:t>
            </w:r>
            <w:r w:rsidR="00770F9A" w:rsidRPr="00FC2011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5</w:t>
            </w:r>
            <w:r w:rsidR="00770F9A" w:rsidRPr="00FC2011">
              <w:rPr>
                <w:rFonts w:cs="Traditional Arabic" w:hint="cs"/>
                <w:rtl/>
                <w:lang w:bidi="ar-SA"/>
              </w:rPr>
              <w:t xml:space="preserve"> </w:t>
            </w:r>
            <w:r w:rsidR="005C567C">
              <w:rPr>
                <w:rFonts w:cs="Traditional Arabic" w:hint="cs"/>
                <w:rtl/>
                <w:lang w:bidi="ar-SA"/>
              </w:rPr>
              <w:t>/</w:t>
            </w:r>
            <w:r w:rsidR="00D93260">
              <w:rPr>
                <w:rFonts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المكلفون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والاموال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الخاضعة للزكاة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30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C567C">
              <w:rPr>
                <w:rFonts w:cs="Arabic Transparent" w:hint="cs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نظام جباية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 xml:space="preserve"> 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الرابع 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وعاء الزكاة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14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حقيقة الضريبة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الأمتحــان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770F9A" w:rsidP="002631A5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</w:t>
            </w:r>
            <w:r w:rsidR="002631A5">
              <w:rPr>
                <w:rFonts w:ascii="Times New Roman" w:hAnsi="Times New Roman" w:cs="Traditional Arabic" w:hint="cs"/>
                <w:rtl/>
                <w:lang w:bidi="ar-JO"/>
              </w:rPr>
              <w:t xml:space="preserve">الضريبة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نطاق 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20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قواعد المحاسبة الضريبية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قواعد المحاسبة الضريبية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الخامس 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تحديد الوعاء الضريبي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19</w:t>
            </w:r>
            <w:r w:rsidR="00D93260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D93260">
              <w:rPr>
                <w:rFonts w:cs="Arabic Transparent" w:hint="cs"/>
                <w:rtl/>
                <w:lang w:bidi="ar-JO"/>
              </w:rPr>
              <w:t>/1438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الدفاتر التجارية المنتظمة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26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 w:rsidR="00D93260"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السابع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إدارة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894208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إختبارا</w:t>
            </w:r>
            <w:r w:rsidR="009C4509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ت</w:t>
            </w:r>
            <w:proofErr w:type="spellEnd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 الإعداد العام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text" w:horzAnchor="page" w:tblpX="5821" w:tblpY="1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4C7A45" w:rsidRPr="000D7E0C" w:rsidTr="004C7A45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4C7A45" w:rsidRPr="000D7E0C" w:rsidRDefault="004C7A45" w:rsidP="004C7A45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7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894208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مبنى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</w:t>
            </w:r>
            <w:proofErr w:type="spellEnd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983EC3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مكتب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page" w:tblpX="2267" w:tblpY="1084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4C7A45" w:rsidRPr="000D7E0C" w:rsidTr="004C7A45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4C7A45" w:rsidRPr="000D7E0C" w:rsidRDefault="004C7A45" w:rsidP="004C7A45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4C7A45" w:rsidRPr="000D7E0C" w:rsidTr="004C7A45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894208" w:rsidRPr="000D7E0C" w:rsidRDefault="004C7A45" w:rsidP="005A3F6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8-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10يوم</w:t>
            </w:r>
            <w:proofErr w:type="spellEnd"/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4C7A45" w:rsidRPr="000D7E0C" w:rsidTr="004C7A45">
        <w:tc>
          <w:tcPr>
            <w:tcW w:w="2474" w:type="dxa"/>
            <w:shd w:val="clear" w:color="auto" w:fill="auto"/>
          </w:tcPr>
          <w:p w:rsidR="004C7A45" w:rsidRPr="000D7E0C" w:rsidRDefault="004C7A45" w:rsidP="005A3F6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-1</w:t>
            </w:r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318"/>
        <w:tblOverlap w:val="never"/>
        <w:bidiVisual/>
        <w:tblW w:w="8788" w:type="dxa"/>
        <w:tblInd w:w="-566" w:type="dxa"/>
        <w:tblLook w:val="04A0"/>
      </w:tblPr>
      <w:tblGrid>
        <w:gridCol w:w="8788"/>
      </w:tblGrid>
      <w:tr w:rsidR="004C7A45" w:rsidTr="004C7A45">
        <w:trPr>
          <w:trHeight w:val="695"/>
        </w:trPr>
        <w:tc>
          <w:tcPr>
            <w:tcW w:w="8788" w:type="dxa"/>
            <w:shd w:val="clear" w:color="auto" w:fill="D9D9D9" w:themeFill="background1" w:themeFillShade="D9"/>
          </w:tcPr>
          <w:p w:rsidR="004C7A45" w:rsidRPr="00055515" w:rsidRDefault="004C7A45" w:rsidP="004C7A45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20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E84C22" w:rsidRDefault="004C7A45" w:rsidP="004C7A4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2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4C7A45" w:rsidRDefault="004C7A45" w:rsidP="004C7A45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2A2037" w:rsidRDefault="00894208" w:rsidP="00983EC3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</w:t>
            </w:r>
            <w:r w:rsidR="004C7A45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770F9A" w:rsidRDefault="00770F9A" w:rsidP="004C7A45">
      <w:pPr>
        <w:ind w:left="-613"/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0A" w:rsidRDefault="00D9200A" w:rsidP="00072586">
      <w:r>
        <w:separator/>
      </w:r>
    </w:p>
  </w:endnote>
  <w:endnote w:type="continuationSeparator" w:id="0">
    <w:p w:rsidR="00D9200A" w:rsidRDefault="00D9200A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0A" w:rsidRDefault="00D9200A" w:rsidP="00072586">
      <w:r>
        <w:separator/>
      </w:r>
    </w:p>
  </w:footnote>
  <w:footnote w:type="continuationSeparator" w:id="0">
    <w:p w:rsidR="00D9200A" w:rsidRDefault="00D9200A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1142F"/>
    <w:rsid w:val="0003779A"/>
    <w:rsid w:val="00055515"/>
    <w:rsid w:val="00072586"/>
    <w:rsid w:val="000955EB"/>
    <w:rsid w:val="000C4274"/>
    <w:rsid w:val="000D0373"/>
    <w:rsid w:val="000F1A2B"/>
    <w:rsid w:val="001040D4"/>
    <w:rsid w:val="001460AB"/>
    <w:rsid w:val="0018192A"/>
    <w:rsid w:val="001E1988"/>
    <w:rsid w:val="002437C8"/>
    <w:rsid w:val="0025583F"/>
    <w:rsid w:val="002631A5"/>
    <w:rsid w:val="0026787D"/>
    <w:rsid w:val="00273FA5"/>
    <w:rsid w:val="00285D05"/>
    <w:rsid w:val="002A047C"/>
    <w:rsid w:val="002A2037"/>
    <w:rsid w:val="002D2B4B"/>
    <w:rsid w:val="002E13A3"/>
    <w:rsid w:val="00332AE2"/>
    <w:rsid w:val="00354F67"/>
    <w:rsid w:val="003A12C1"/>
    <w:rsid w:val="003B1950"/>
    <w:rsid w:val="003C7796"/>
    <w:rsid w:val="003E390F"/>
    <w:rsid w:val="004816BC"/>
    <w:rsid w:val="004C7A45"/>
    <w:rsid w:val="00532306"/>
    <w:rsid w:val="005A3F69"/>
    <w:rsid w:val="005C567C"/>
    <w:rsid w:val="005F60B8"/>
    <w:rsid w:val="00612E00"/>
    <w:rsid w:val="00641773"/>
    <w:rsid w:val="0066761F"/>
    <w:rsid w:val="006802F8"/>
    <w:rsid w:val="006C1FA6"/>
    <w:rsid w:val="00713AA8"/>
    <w:rsid w:val="007617EB"/>
    <w:rsid w:val="00770F9A"/>
    <w:rsid w:val="0079120A"/>
    <w:rsid w:val="007C0FD2"/>
    <w:rsid w:val="007C56D3"/>
    <w:rsid w:val="007D4CB1"/>
    <w:rsid w:val="008470D2"/>
    <w:rsid w:val="00847AC7"/>
    <w:rsid w:val="00894208"/>
    <w:rsid w:val="00911A72"/>
    <w:rsid w:val="00943C45"/>
    <w:rsid w:val="0095484B"/>
    <w:rsid w:val="009641DE"/>
    <w:rsid w:val="00983EC3"/>
    <w:rsid w:val="009B49AD"/>
    <w:rsid w:val="009C4509"/>
    <w:rsid w:val="009D45BA"/>
    <w:rsid w:val="009F64B3"/>
    <w:rsid w:val="00A64180"/>
    <w:rsid w:val="00A730AD"/>
    <w:rsid w:val="00A7363E"/>
    <w:rsid w:val="00AB112D"/>
    <w:rsid w:val="00B277FD"/>
    <w:rsid w:val="00B36BF5"/>
    <w:rsid w:val="00BA2A99"/>
    <w:rsid w:val="00BA60F5"/>
    <w:rsid w:val="00C045C6"/>
    <w:rsid w:val="00C32702"/>
    <w:rsid w:val="00C710F7"/>
    <w:rsid w:val="00C817C6"/>
    <w:rsid w:val="00CE41B3"/>
    <w:rsid w:val="00CF0BAC"/>
    <w:rsid w:val="00D9200A"/>
    <w:rsid w:val="00D93260"/>
    <w:rsid w:val="00DC23BA"/>
    <w:rsid w:val="00DC30D8"/>
    <w:rsid w:val="00DF0679"/>
    <w:rsid w:val="00E84C22"/>
    <w:rsid w:val="00E86475"/>
    <w:rsid w:val="00F52821"/>
    <w:rsid w:val="00FC2011"/>
    <w:rsid w:val="00FE0E36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&#1575;&#1604;&#1575;&#1604;&#1603;&#1578;&#1585;&#1608;&#1606;&#1610;/amalfawaz@ksu.edu.s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11844-179E-415E-BD45-6BFE952B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25</cp:revision>
  <cp:lastPrinted>2014-02-03T16:03:00Z</cp:lastPrinted>
  <dcterms:created xsi:type="dcterms:W3CDTF">2014-01-25T16:45:00Z</dcterms:created>
  <dcterms:modified xsi:type="dcterms:W3CDTF">2017-02-04T15:13:00Z</dcterms:modified>
</cp:coreProperties>
</file>