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D55" w:rsidRPr="00FD15A6" w:rsidRDefault="00737D55" w:rsidP="00FD15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15A6">
        <w:rPr>
          <w:rFonts w:asciiTheme="majorBidi" w:hAnsiTheme="majorBidi" w:cstheme="majorBidi"/>
          <w:b/>
          <w:bCs/>
          <w:sz w:val="28"/>
          <w:szCs w:val="28"/>
        </w:rPr>
        <w:t>Week1</w:t>
      </w:r>
    </w:p>
    <w:p w:rsidR="00737D55" w:rsidRPr="00FD15A6" w:rsidRDefault="00737D55" w:rsidP="00FD15A6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D15A6">
        <w:rPr>
          <w:rFonts w:asciiTheme="majorBidi" w:hAnsiTheme="majorBidi" w:cstheme="majorBidi"/>
          <w:b/>
          <w:bCs/>
          <w:sz w:val="28"/>
          <w:szCs w:val="28"/>
        </w:rPr>
        <w:t>Introduction:</w:t>
      </w:r>
    </w:p>
    <w:p w:rsidR="00D53B03" w:rsidRPr="00FD15A6" w:rsidRDefault="00D53B03" w:rsidP="00D53B03">
      <w:pPr>
        <w:jc w:val="right"/>
        <w:rPr>
          <w:rFonts w:asciiTheme="majorBidi" w:hAnsiTheme="majorBidi" w:cstheme="majorBidi"/>
          <w:sz w:val="22"/>
          <w:szCs w:val="22"/>
          <w:rtl/>
        </w:rPr>
      </w:pPr>
    </w:p>
    <w:p w:rsidR="00D53B03" w:rsidRPr="00FD15A6" w:rsidRDefault="005C6F64" w:rsidP="003129DC">
      <w:pPr>
        <w:jc w:val="righ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  <w:b/>
          <w:bCs/>
        </w:rPr>
        <w:t>Q</w:t>
      </w:r>
      <w:r w:rsidR="00D53B03" w:rsidRPr="00FD15A6">
        <w:rPr>
          <w:rFonts w:asciiTheme="majorBidi" w:hAnsiTheme="majorBidi" w:cstheme="majorBidi"/>
          <w:b/>
          <w:bCs/>
        </w:rPr>
        <w:t>uantitative analysis</w:t>
      </w:r>
      <w:r w:rsidR="00D53B03" w:rsidRPr="00FD15A6">
        <w:rPr>
          <w:rFonts w:asciiTheme="majorBidi" w:hAnsiTheme="majorBidi" w:cstheme="majorBidi"/>
        </w:rPr>
        <w:t xml:space="preserve">:  is the determination of the absolute or relative </w:t>
      </w:r>
      <w:r w:rsidR="003129DC" w:rsidRPr="00FD15A6">
        <w:rPr>
          <w:rFonts w:asciiTheme="majorBidi" w:hAnsiTheme="majorBidi" w:cstheme="majorBidi"/>
        </w:rPr>
        <w:t>amount</w:t>
      </w:r>
      <w:r w:rsidR="00D53B03" w:rsidRPr="00FD15A6">
        <w:rPr>
          <w:rFonts w:asciiTheme="majorBidi" w:hAnsiTheme="majorBidi" w:cstheme="majorBidi"/>
        </w:rPr>
        <w:t xml:space="preserve"> (often expressed as a concentration</w:t>
      </w:r>
      <w:r w:rsidRPr="00FD15A6">
        <w:rPr>
          <w:rFonts w:asciiTheme="majorBidi" w:hAnsiTheme="majorBidi" w:cstheme="majorBidi"/>
        </w:rPr>
        <w:t>) of one</w:t>
      </w:r>
      <w:r w:rsidR="00D53B03" w:rsidRPr="00FD15A6">
        <w:rPr>
          <w:rFonts w:asciiTheme="majorBidi" w:hAnsiTheme="majorBidi" w:cstheme="majorBidi"/>
        </w:rPr>
        <w:t xml:space="preserve">, several or all </w:t>
      </w:r>
      <w:r w:rsidRPr="00FD15A6">
        <w:rPr>
          <w:rFonts w:asciiTheme="majorBidi" w:hAnsiTheme="majorBidi" w:cstheme="majorBidi"/>
        </w:rPr>
        <w:t>substance</w:t>
      </w:r>
      <w:r w:rsidR="00D53B03" w:rsidRPr="00FD15A6">
        <w:rPr>
          <w:rFonts w:asciiTheme="majorBidi" w:hAnsiTheme="majorBidi" w:cstheme="majorBidi"/>
        </w:rPr>
        <w:t>(s) present in a sample.</w:t>
      </w:r>
      <w:r w:rsidR="00874C7B">
        <w:rPr>
          <w:rFonts w:asciiTheme="majorBidi" w:hAnsiTheme="majorBidi" w:cstheme="majorBidi"/>
          <w:noProof/>
        </w:rPr>
        <w:pict>
          <v:group id="_x0000_s1029" editas="orgchart" style="position:absolute;margin-left:-23.25pt;margin-top:15.25pt;width:497.05pt;height:255.8pt;z-index:251665408;mso-position-horizontal-relative:char;mso-position-vertical-relative:line" coordorigin="1558,1218" coordsize="6111,4421">
            <o:lock v:ext="edit" aspectratio="t"/>
            <o:diagram v:ext="edit" dgmstyle="0" dgmscalex="108864" dgmscaley="79147" dgmfontsize="14" constrainbounds="0,0,0,0" autolayout="f">
              <o:relationtable v:ext="edit">
                <o:rel v:ext="edit" idsrc="#_s1042" iddest="#_s1042"/>
                <o:rel v:ext="edit" idsrc="#_s1043" iddest="#_s1042" idcntr="#_s1041"/>
                <o:rel v:ext="edit" idsrc="#_s1044" iddest="#_s1043" idcntr="#_s1040"/>
                <o:rel v:ext="edit" idsrc="#_s1045" iddest="#_s1043" idcntr="#_s1039"/>
                <o:rel v:ext="edit" idsrc="#_s1046" iddest="#_s1043" idcntr="#_s1038"/>
                <o:rel v:ext="edit" idsrc="#_s1047" iddest="#_s1043" idcntr="#_s1037"/>
                <o:rel v:ext="edit" idsrc="#_s1048" iddest="#_s1045" idcntr="#_s1036"/>
                <o:rel v:ext="edit" idsrc="#_s1054" iddest="#_s1047" idcntr="#_s1032"/>
                <o:rel v:ext="edit" idsrc="#_s1055" iddest="#_s1047" idcntr="#_s1031"/>
                <o:rel v:ext="edit" idsrc="#_s1049" iddest="#_s1048" idcntr="#_s1035"/>
                <o:rel v:ext="edit" idsrc="#_s1050" iddest="#_s1048" idcntr="#_s1034"/>
                <o:rel v:ext="edit" idsrc="#_s1051" iddest="#_s1050" idcntr="#_s1033"/>
              </o:relationtable>
            </o:diagram>
            <v:shape id="_x0000_s1030" type="#_x0000_t75" style="position:absolute;left:1558;top:1218;width:6111;height:4421" o:preferrelative="f">
              <v:fill o:detectmouseclick="t"/>
              <v:path o:extrusionok="t" o:connecttype="none"/>
              <o:lock v:ext="edit" text="t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s1031" o:spid="_x0000_s1031" type="#_x0000_t35" style="position:absolute;left:1647;top:2737;width:5206;height:895;rotation:180;flip:x" o:connectortype="elbow" adj="-459,13377,3775" strokeweight="1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2" o:spid="_x0000_s1032" type="#_x0000_t34" style="position:absolute;left:4680;top:1531;width:968;height:3379;rotation:90;flip:x y" o:connectortype="elbow" adj="-3130,23644,77426" strokeweight="1p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33" o:spid="_x0000_s1033" type="#_x0000_t33" style="position:absolute;left:4855;top:5207;width:254;height:243;rotation:180" o:connectortype="elbow" adj="-371959,-573199,-371959" strokeweight="1pt"/>
            <v:shape id="_s1034" o:spid="_x0000_s1034" type="#_x0000_t35" style="position:absolute;left:4154;top:3522;width:482;height:1579;rotation:180;flip:x" o:connectortype="elbow" adj="-4282,11514,117539" strokeweight="1pt"/>
            <v:shape id="_s1035" o:spid="_x0000_s1035" type="#_x0000_t34" style="position:absolute;left:4202;top:3656;width:860;height:382;rotation:270;flip:x" o:connectortype="elbow" adj="3086,221017,-112474" strokeweight="1pt"/>
            <v:shape id="_s1036" o:spid="_x0000_s1036" type="#_x0000_t33" style="position:absolute;left:6111;top:2737;width:742;height:622;flip:y" o:connectortype="elbow" adj="-87529,142389,-87529" strokeweight="1pt"/>
            <v:shape id="_s1037" o:spid="_x0000_s1037" type="#_x0000_t34" style="position:absolute;left:5487;top:1111;width:434;height:2299;rotation:270;flip:x" o:connectortype="elbow" adj="6980,28045,-385775" strokeweight="1pt"/>
            <v:shape id="_s1038" o:spid="_x0000_s1038" type="#_x0000_t34" style="position:absolute;left:4927;top:1671;width:365;height:1112;rotation:270;flip:x" o:connectortype="elbow" adj="8308,56919,-370015" strokeweight="1pt"/>
            <v:shape id="_s1039" o:spid="_x0000_s1039" type="#_x0000_t34" style="position:absolute;left:4016;top:1941;width:436;height:641;rotation:270" o:connectortype="elbow" adj="6943,-100724,-199260" strokeweight="1pt"/>
            <v:shape id="_s1040" o:spid="_x0000_s1040" type="#_x0000_t34" style="position:absolute;left:3163;top:1089;width:436;height:2346;rotation:270" o:connectortype="elbow" adj="6943,-27511,-92301" strokeweight="1pt"/>
            <v:shape id="_s1041" o:spid="_x0000_s1041" type="#_x0000_t33" style="position:absolute;left:3617;top:1475;width:121;height:573;rotation:270;flip:x" o:connectortype="elbow" adj="-606395,75060,-606395" strokeweight="1pt"/>
            <v:roundrect id="_s1042" o:spid="_x0000_s1042" style="position:absolute;left:2470;top:1218;width:2072;height:315;v-text-anchor:middle" arcsize="15513f" o:dgmlayout="0" o:dgmnodekind="1" fillcolor="#cff">
              <v:textbox style="mso-next-textbox:#_s1042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Quantitative Classical Chemical Analysis</w:t>
                    </w:r>
                  </w:p>
                </w:txbxContent>
              </v:textbox>
            </v:roundrect>
            <v:roundrect id="_s1043" o:spid="_x0000_s1043" style="position:absolute;left:3780;top:1779;width:1546;height:265;v-text-anchor:middle" arcsize="10923f" o:dgmlayout="0" o:dgmnodekind="0" fillcolor="#cff">
              <v:textbox style="mso-next-textbox:#_s1043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Titrations</w:t>
                    </w:r>
                  </w:p>
                </w:txbxContent>
              </v:textbox>
            </v:roundrect>
            <v:roundrect id="_s1044" o:spid="_x0000_s1044" style="position:absolute;left:1558;top:2480;width:1300;height:259;v-text-anchor:middle" arcsize="10923f" o:dgmlayout="2" o:dgmnodekind="0" filled="f" fillcolor="#bbe0e3">
              <v:textbox style="mso-next-textbox:#_s1044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Acid-base</w:t>
                    </w:r>
                  </w:p>
                </w:txbxContent>
              </v:textbox>
            </v:roundrect>
            <v:roundrect id="_s1045" o:spid="_x0000_s1045" style="position:absolute;left:3190;top:2480;width:1446;height:258;v-text-anchor:middle" arcsize="10923f" o:dgmlayout="2" o:dgmnodekind="0" filled="f" fillcolor="#bbe0e3">
              <v:textbox style="mso-next-textbox:#_s1045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Precipitaiton</w:t>
                    </w:r>
                    <w:proofErr w:type="spellEnd"/>
                  </w:p>
                </w:txbxContent>
              </v:textbox>
            </v:roundrect>
            <v:roundrect id="_s1046" o:spid="_x0000_s1046" style="position:absolute;left:4914;top:2409;width:1503;height:260;v-text-anchor:middle" arcsize="10923f" o:dgmlayout="2" o:dgmnodekind="0" filled="f" fillcolor="#bbe0e3">
              <v:textbox style="mso-next-textbox:#_s1046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Complexometric</w:t>
                    </w:r>
                    <w:proofErr w:type="spellEnd"/>
                  </w:p>
                </w:txbxContent>
              </v:textbox>
            </v:roundrect>
            <v:roundrect id="_s1047" o:spid="_x0000_s1047" style="position:absolute;left:6464;top:2478;width:777;height:259;v-text-anchor:middle" arcsize="10923f" o:dgmlayout="2" o:dgmnodekind="0" fillcolor="#cff">
              <v:textbox style="mso-next-textbox:#_s1047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theme="minorBidi"/>
                        <w:color w:val="000000"/>
                        <w:sz w:val="28"/>
                        <w:szCs w:val="28"/>
                        <w:rtl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Redox</w:t>
                    </w:r>
                    <w:proofErr w:type="spellEnd"/>
                  </w:p>
                </w:txbxContent>
              </v:textbox>
            </v:roundrect>
            <v:roundrect id="_s1048" o:spid="_x0000_s1048" style="position:absolute;left:4154;top:3171;width:1727;height:243;v-text-anchor:middle" arcsize="10923f" o:dgmlayout="2" o:dgmnodekind="0" fillcolor="#cff">
              <v:textbox style="mso-next-textbox:#_s1048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Titrations involving iodine (I</w:t>
                    </w: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  <w:vertAlign w:val="subscript"/>
                      </w:rPr>
                      <w:t>2</w:t>
                    </w:r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oundrect>
            <v:roundrect id="_s1049" o:spid="_x0000_s1049" style="position:absolute;left:4536;top:4277;width:1345;height:389;v-text-anchor:middle" arcsize="10923f" o:dgmlayout="2" o:dgmnodekind="0" filled="f" fillcolor="#bbe0e3">
              <v:textbox style="mso-next-textbox:#_s1049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1"/>
                        <w:szCs w:val="21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Io</w:t>
                    </w:r>
                    <w:r w:rsidRPr="00177AC5">
                      <w:rPr>
                        <w:rFonts w:ascii="Arial" w:hAnsi="Arial" w:cs="Arial"/>
                        <w:color w:val="00FFFF"/>
                        <w:sz w:val="21"/>
                        <w:szCs w:val="21"/>
                      </w:rPr>
                      <w:t>di</w:t>
                    </w:r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metry</w:t>
                    </w:r>
                    <w:proofErr w:type="spellEnd"/>
                  </w:p>
                </w:txbxContent>
              </v:textbox>
            </v:roundrect>
            <v:roundrect id="_s1050" o:spid="_x0000_s1050" style="position:absolute;left:4154;top:4996;width:1403;height:211;v-text-anchor:middle" arcsize="10923f" o:dgmlayout="2" o:dgmnodekind="0" fillcolor="#cff">
              <v:textbox style="mso-next-textbox:#_s1050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1"/>
                        <w:szCs w:val="21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Io</w:t>
                    </w:r>
                    <w:r w:rsidRPr="00177AC5">
                      <w:rPr>
                        <w:rFonts w:ascii="Arial" w:hAnsi="Arial" w:cs="Arial"/>
                        <w:color w:val="33CCCC"/>
                        <w:sz w:val="21"/>
                        <w:szCs w:val="21"/>
                      </w:rPr>
                      <w:t>do</w:t>
                    </w:r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metry</w:t>
                    </w:r>
                    <w:proofErr w:type="spellEnd"/>
                  </w:p>
                </w:txbxContent>
              </v:textbox>
            </v:roundrect>
            <v:roundrect id="_s1051" o:spid="_x0000_s1051" style="position:absolute;left:5109;top:5259;width:2560;height:380;v-text-anchor:middle" arcsize="10923f" o:dgmlayout="2" o:dgmnodekind="0" fillcolor="#cff">
              <v:textbox style="mso-next-textbox:#_s1051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1"/>
                        <w:szCs w:val="21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Iodometric</w:t>
                    </w:r>
                    <w:proofErr w:type="spellEnd"/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 xml:space="preserve"> titration</w:t>
                    </w:r>
                    <w:r w:rsidRPr="00177AC5">
                      <w:rPr>
                        <w:color w:val="000000"/>
                        <w:sz w:val="21"/>
                        <w:szCs w:val="21"/>
                      </w:rPr>
                      <w:t xml:space="preserve"> </w:t>
                    </w:r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of copper</w:t>
                    </w:r>
                  </w:p>
                </w:txbxContent>
              </v:textbox>
            </v:roundrect>
            <v:roundrect id="_x0000_s1052" style="position:absolute;left:2262;top:1822;width:1125;height:359;v-text-anchor:middle" arcsize="10923f" o:dgmlayout="0" o:dgmnodekind="0" filled="f" fillcolor="#bbe0e3">
              <v:textbox style="mso-next-textbox:#_x0000_s1052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</w:rPr>
                      <w:t>Gravimetry</w:t>
                    </w:r>
                    <w:proofErr w:type="spellEnd"/>
                  </w:p>
                </w:txbxContent>
              </v:textbox>
            </v:roundrect>
            <v:shape id="_x0000_s1053" type="#_x0000_t34" style="position:absolute;left:2889;top:1285;width:355;height:689;rotation:270" o:connectortype="elbow" adj="6230,-62406,-115518" strokeweight="1pt"/>
            <v:roundrect id="_s1054" o:spid="_x0000_s1054" style="position:absolute;left:2794;top:3248;width:1360;height:457;v-text-anchor:middle" arcsize="10923f" o:dgmlayout="2" o:dgmnodekind="0">
              <v:textbox style="mso-next-textbox:#_s1054" inset="0,0,0,0">
                <w:txbxContent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1"/>
                        <w:szCs w:val="21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Dichromatometric</w:t>
                    </w:r>
                    <w:proofErr w:type="spellEnd"/>
                  </w:p>
                </w:txbxContent>
              </v:textbox>
            </v:roundrect>
            <v:roundrect id="_s1055" o:spid="_x0000_s1055" style="position:absolute;left:1647;top:3417;width:1052;height:428;v-text-anchor:middle" arcsize="10923f" o:dgmlayout="2" o:dgmnodekind="0">
              <v:textbox style="mso-next-textbox:#_s1055" inset="0,0,0,0">
                <w:txbxContent>
                  <w:p w:rsidR="007677BE" w:rsidRPr="00177AC5" w:rsidRDefault="00FD15A6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KMnO</w:t>
                    </w:r>
                    <w:r w:rsidRPr="00FD15A6">
                      <w:rPr>
                        <w:rFonts w:ascii="Arial" w:hAnsi="Arial" w:cs="Arial"/>
                        <w:color w:val="000000"/>
                        <w:sz w:val="28"/>
                        <w:szCs w:val="28"/>
                        <w:vertAlign w:val="subscript"/>
                      </w:rPr>
                      <w:t>4</w:t>
                    </w:r>
                  </w:p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</w:pPr>
                  </w:p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</w:pPr>
                    <w:proofErr w:type="spellStart"/>
                    <w:r w:rsidRPr="00177AC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Permanganimetric</w:t>
                    </w:r>
                    <w:proofErr w:type="spellEnd"/>
                  </w:p>
                  <w:p w:rsidR="007677BE" w:rsidRPr="00177AC5" w:rsidRDefault="007677BE" w:rsidP="007677B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oundrect>
            <w10:wrap anchorx="page"/>
          </v:group>
        </w:pict>
      </w:r>
    </w:p>
    <w:p w:rsidR="007677BE" w:rsidRPr="00FD15A6" w:rsidRDefault="007677BE" w:rsidP="003129DC">
      <w:pPr>
        <w:jc w:val="right"/>
        <w:rPr>
          <w:rFonts w:asciiTheme="majorBidi" w:hAnsiTheme="majorBidi" w:cstheme="majorBidi"/>
          <w:rtl/>
        </w:rPr>
      </w:pPr>
    </w:p>
    <w:p w:rsidR="00D53B03" w:rsidRPr="00FD15A6" w:rsidRDefault="00D53B03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  <w:b/>
          <w:bCs/>
        </w:rPr>
      </w:pPr>
    </w:p>
    <w:p w:rsidR="007677BE" w:rsidRPr="00FD15A6" w:rsidRDefault="007677BE" w:rsidP="00D53B03">
      <w:pPr>
        <w:jc w:val="right"/>
        <w:rPr>
          <w:rFonts w:asciiTheme="majorBidi" w:hAnsiTheme="majorBidi" w:cstheme="majorBidi"/>
          <w:b/>
          <w:bCs/>
        </w:rPr>
      </w:pPr>
    </w:p>
    <w:p w:rsidR="00177AC5" w:rsidRPr="00FD15A6" w:rsidRDefault="00177AC5" w:rsidP="00D53B03">
      <w:pPr>
        <w:jc w:val="right"/>
        <w:rPr>
          <w:rFonts w:asciiTheme="majorBidi" w:hAnsiTheme="majorBidi" w:cstheme="majorBidi"/>
          <w:b/>
          <w:bCs/>
        </w:rPr>
      </w:pPr>
    </w:p>
    <w:p w:rsidR="00177AC5" w:rsidRPr="00FD15A6" w:rsidRDefault="00177AC5" w:rsidP="00D53B03">
      <w:pPr>
        <w:jc w:val="right"/>
        <w:rPr>
          <w:rFonts w:asciiTheme="majorBidi" w:hAnsiTheme="majorBidi" w:cstheme="majorBidi"/>
          <w:b/>
          <w:bCs/>
        </w:rPr>
      </w:pPr>
    </w:p>
    <w:p w:rsidR="00177AC5" w:rsidRPr="00FD15A6" w:rsidRDefault="00550F4C" w:rsidP="00D53B03">
      <w:pPr>
        <w:jc w:val="righ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  <w:b/>
          <w:bCs/>
        </w:rPr>
        <w:t>Titration</w:t>
      </w:r>
      <w:r w:rsidRPr="00FD15A6">
        <w:rPr>
          <w:rFonts w:asciiTheme="majorBidi" w:hAnsiTheme="majorBidi" w:cstheme="majorBidi"/>
        </w:rPr>
        <w:t xml:space="preserve">: </w:t>
      </w:r>
      <w:r w:rsidR="003129DC" w:rsidRPr="00FD15A6">
        <w:rPr>
          <w:rFonts w:asciiTheme="majorBidi" w:hAnsiTheme="majorBidi" w:cstheme="majorBidi"/>
        </w:rPr>
        <w:t>is t</w:t>
      </w:r>
      <w:r w:rsidRPr="00FD15A6">
        <w:rPr>
          <w:rFonts w:asciiTheme="majorBidi" w:hAnsiTheme="majorBidi" w:cstheme="majorBidi"/>
        </w:rPr>
        <w:t>he process, operation, or method of determining the</w:t>
      </w:r>
    </w:p>
    <w:p w:rsidR="00CE1A84" w:rsidRPr="007D189B" w:rsidRDefault="00550F4C" w:rsidP="00CE1A84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</w:rPr>
        <w:t xml:space="preserve"> </w:t>
      </w:r>
      <w:proofErr w:type="gramStart"/>
      <w:r w:rsidRPr="00FD15A6">
        <w:rPr>
          <w:rFonts w:asciiTheme="majorBidi" w:hAnsiTheme="majorBidi" w:cstheme="majorBidi"/>
        </w:rPr>
        <w:t>concentration</w:t>
      </w:r>
      <w:proofErr w:type="gramEnd"/>
      <w:r w:rsidRPr="00FD15A6">
        <w:rPr>
          <w:rFonts w:asciiTheme="majorBidi" w:hAnsiTheme="majorBidi" w:cstheme="majorBidi"/>
        </w:rPr>
        <w:t xml:space="preserve"> of a </w:t>
      </w:r>
      <w:r w:rsidR="005C6F64" w:rsidRPr="00FD15A6">
        <w:rPr>
          <w:rFonts w:asciiTheme="majorBidi" w:hAnsiTheme="majorBidi" w:cstheme="majorBidi"/>
        </w:rPr>
        <w:t>substance (</w:t>
      </w:r>
      <w:r w:rsidR="003A72C1" w:rsidRPr="00FD15A6">
        <w:rPr>
          <w:rFonts w:asciiTheme="majorBidi" w:hAnsiTheme="majorBidi" w:cstheme="majorBidi"/>
        </w:rPr>
        <w:t>analyte)</w:t>
      </w:r>
      <w:r w:rsidRPr="00FD15A6">
        <w:rPr>
          <w:rFonts w:asciiTheme="majorBidi" w:hAnsiTheme="majorBidi" w:cstheme="majorBidi"/>
        </w:rPr>
        <w:t xml:space="preserve"> in solution by adding to it a standard </w:t>
      </w:r>
      <w:r w:rsidR="005C6F64" w:rsidRPr="00FD15A6">
        <w:rPr>
          <w:rFonts w:asciiTheme="majorBidi" w:hAnsiTheme="majorBidi" w:cstheme="majorBidi"/>
        </w:rPr>
        <w:t>reagent (</w:t>
      </w:r>
      <w:r w:rsidR="003A72C1" w:rsidRPr="00FD15A6">
        <w:rPr>
          <w:rFonts w:asciiTheme="majorBidi" w:hAnsiTheme="majorBidi" w:cstheme="majorBidi"/>
        </w:rPr>
        <w:t>titrant)</w:t>
      </w:r>
      <w:r w:rsidRPr="00FD15A6">
        <w:rPr>
          <w:rFonts w:asciiTheme="majorBidi" w:hAnsiTheme="majorBidi" w:cstheme="majorBidi"/>
        </w:rPr>
        <w:t xml:space="preserve"> of known concentration in carefully measured amounts until a reaction of definite and known proportion is completed, as shown by a color change or by electrical measurement, and then calculating the unknown concentration.</w:t>
      </w:r>
      <w:r w:rsidR="00CE1A84" w:rsidRPr="007D189B">
        <w:rPr>
          <w:rFonts w:asciiTheme="majorBidi" w:hAnsiTheme="majorBidi" w:cstheme="majorBidi"/>
        </w:rPr>
        <w:t xml:space="preserve"> </w:t>
      </w:r>
    </w:p>
    <w:p w:rsidR="00CE1A84" w:rsidRPr="007D189B" w:rsidRDefault="00CE1A84" w:rsidP="00CE1A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2B4793" w:rsidRPr="00FD15A6" w:rsidRDefault="002B4793" w:rsidP="002B4793">
      <w:pPr>
        <w:bidi w:val="0"/>
        <w:rPr>
          <w:rFonts w:asciiTheme="majorBidi" w:eastAsia="Times New Roman" w:hAnsiTheme="majorBidi" w:cstheme="majorBidi"/>
          <w:color w:val="000000" w:themeColor="text1"/>
        </w:rPr>
      </w:pPr>
    </w:p>
    <w:p w:rsidR="002B4793" w:rsidRPr="00FD15A6" w:rsidRDefault="002B4793" w:rsidP="002B4793">
      <w:pPr>
        <w:bidi w:val="0"/>
        <w:rPr>
          <w:rFonts w:asciiTheme="majorBidi" w:eastAsia="Times New Roman" w:hAnsiTheme="majorBidi" w:cstheme="majorBidi"/>
          <w:color w:val="000000"/>
        </w:rPr>
      </w:pPr>
      <w:r w:rsidRPr="00FD15A6">
        <w:rPr>
          <w:rFonts w:asciiTheme="majorBidi" w:eastAsia="Times New Roman" w:hAnsiTheme="majorBidi" w:cstheme="majorBidi"/>
          <w:b/>
          <w:bCs/>
          <w:color w:val="000000"/>
        </w:rPr>
        <w:t>Equivalence point</w:t>
      </w:r>
      <w:r w:rsidRPr="00FD15A6">
        <w:rPr>
          <w:rFonts w:asciiTheme="majorBidi" w:eastAsia="Times New Roman" w:hAnsiTheme="majorBidi" w:cstheme="majorBidi"/>
          <w:color w:val="000000"/>
        </w:rPr>
        <w:t>:</w:t>
      </w:r>
    </w:p>
    <w:p w:rsidR="002B4793" w:rsidRPr="00FD15A6" w:rsidRDefault="002B4793" w:rsidP="002B4793">
      <w:pPr>
        <w:bidi w:val="0"/>
        <w:rPr>
          <w:rFonts w:asciiTheme="majorBidi" w:eastAsia="Times New Roman" w:hAnsiTheme="majorBidi" w:cstheme="majorBidi"/>
          <w:color w:val="000000"/>
        </w:rPr>
      </w:pPr>
      <w:proofErr w:type="gramStart"/>
      <w:r w:rsidRPr="00FD15A6">
        <w:rPr>
          <w:rFonts w:asciiTheme="majorBidi" w:eastAsia="Times New Roman" w:hAnsiTheme="majorBidi" w:cstheme="majorBidi"/>
          <w:color w:val="000000"/>
        </w:rPr>
        <w:t xml:space="preserve">The point in a titration where the amounts of </w:t>
      </w:r>
      <w:proofErr w:type="spellStart"/>
      <w:r w:rsidRPr="00FD15A6">
        <w:rPr>
          <w:rFonts w:asciiTheme="majorBidi" w:eastAsia="Times New Roman" w:hAnsiTheme="majorBidi" w:cstheme="majorBidi"/>
          <w:color w:val="000000"/>
        </w:rPr>
        <w:t>titrant</w:t>
      </w:r>
      <w:proofErr w:type="spellEnd"/>
      <w:r w:rsidRPr="00FD15A6">
        <w:rPr>
          <w:rFonts w:asciiTheme="majorBidi" w:eastAsia="Times New Roman" w:hAnsiTheme="majorBidi" w:cstheme="majorBidi"/>
          <w:color w:val="000000"/>
        </w:rPr>
        <w:t xml:space="preserve"> and material being titrated are equivalent chemically.</w:t>
      </w:r>
      <w:proofErr w:type="gramEnd"/>
    </w:p>
    <w:p w:rsidR="00FD15A6" w:rsidRDefault="00FD15A6" w:rsidP="00FD15A6">
      <w:pPr>
        <w:bidi w:val="0"/>
        <w:rPr>
          <w:rFonts w:asciiTheme="majorBidi" w:eastAsia="Times New Roman" w:hAnsiTheme="majorBidi" w:cstheme="majorBidi"/>
          <w:b/>
          <w:bCs/>
          <w:color w:val="333333"/>
        </w:rPr>
      </w:pPr>
    </w:p>
    <w:p w:rsidR="00FD15A6" w:rsidRDefault="00FD15A6" w:rsidP="00FD15A6">
      <w:pPr>
        <w:bidi w:val="0"/>
        <w:rPr>
          <w:rFonts w:asciiTheme="majorBidi" w:eastAsia="Times New Roman" w:hAnsiTheme="majorBidi" w:cstheme="majorBidi"/>
          <w:b/>
          <w:bCs/>
          <w:color w:val="333333"/>
        </w:rPr>
      </w:pPr>
      <w:r w:rsidRPr="00FD15A6">
        <w:rPr>
          <w:rFonts w:asciiTheme="majorBidi" w:eastAsia="Times New Roman" w:hAnsiTheme="majorBidi" w:cstheme="majorBidi"/>
          <w:b/>
          <w:bCs/>
          <w:color w:val="333333"/>
        </w:rPr>
        <w:t xml:space="preserve">The end </w:t>
      </w:r>
      <w:proofErr w:type="gramStart"/>
      <w:r w:rsidRPr="00FD15A6">
        <w:rPr>
          <w:rFonts w:asciiTheme="majorBidi" w:eastAsia="Times New Roman" w:hAnsiTheme="majorBidi" w:cstheme="majorBidi"/>
          <w:b/>
          <w:bCs/>
          <w:color w:val="333333"/>
        </w:rPr>
        <w:t>point :</w:t>
      </w:r>
      <w:proofErr w:type="gramEnd"/>
    </w:p>
    <w:p w:rsidR="00FD15A6" w:rsidRPr="00FD15A6" w:rsidRDefault="00FD15A6" w:rsidP="00FD15A6">
      <w:pPr>
        <w:bidi w:val="0"/>
        <w:rPr>
          <w:rFonts w:asciiTheme="majorBidi" w:eastAsia="Times New Roman" w:hAnsiTheme="majorBidi" w:cstheme="majorBidi"/>
        </w:rPr>
      </w:pPr>
      <w:proofErr w:type="gramStart"/>
      <w:r>
        <w:rPr>
          <w:rFonts w:asciiTheme="majorBidi" w:eastAsia="Times New Roman" w:hAnsiTheme="majorBidi" w:cstheme="majorBidi"/>
        </w:rPr>
        <w:t>T</w:t>
      </w:r>
      <w:r w:rsidRPr="00FD15A6">
        <w:rPr>
          <w:rFonts w:asciiTheme="majorBidi" w:eastAsia="Times New Roman" w:hAnsiTheme="majorBidi" w:cstheme="majorBidi"/>
        </w:rPr>
        <w:t xml:space="preserve">he </w:t>
      </w:r>
      <w:hyperlink r:id="rId6" w:history="1">
        <w:r w:rsidRPr="00FD15A6">
          <w:rPr>
            <w:rFonts w:asciiTheme="majorBidi" w:eastAsia="Times New Roman" w:hAnsiTheme="majorBidi" w:cstheme="majorBidi"/>
          </w:rPr>
          <w:t>physical change</w:t>
        </w:r>
      </w:hyperlink>
      <w:r w:rsidRPr="00FD15A6">
        <w:rPr>
          <w:rFonts w:asciiTheme="majorBidi" w:eastAsia="Times New Roman" w:hAnsiTheme="majorBidi" w:cstheme="majorBidi"/>
        </w:rPr>
        <w:t xml:space="preserve"> which results when the </w:t>
      </w:r>
      <w:hyperlink r:id="rId7" w:history="1">
        <w:r w:rsidRPr="00FD15A6">
          <w:rPr>
            <w:rFonts w:asciiTheme="majorBidi" w:eastAsia="Times New Roman" w:hAnsiTheme="majorBidi" w:cstheme="majorBidi"/>
          </w:rPr>
          <w:t>equivalence point</w:t>
        </w:r>
      </w:hyperlink>
      <w:r w:rsidRPr="00FD15A6">
        <w:rPr>
          <w:rFonts w:asciiTheme="majorBidi" w:eastAsia="Times New Roman" w:hAnsiTheme="majorBidi" w:cstheme="majorBidi"/>
        </w:rPr>
        <w:t xml:space="preserve"> has been reached.</w:t>
      </w:r>
      <w:proofErr w:type="gramEnd"/>
    </w:p>
    <w:p w:rsidR="002B4793" w:rsidRPr="00FD15A6" w:rsidRDefault="00FD15A6" w:rsidP="00FD15A6">
      <w:pPr>
        <w:bidi w:val="0"/>
        <w:rPr>
          <w:rFonts w:asciiTheme="majorBidi" w:eastAsia="Times New Roman" w:hAnsiTheme="majorBidi" w:cstheme="majorBidi"/>
          <w:color w:val="000000" w:themeColor="text1"/>
        </w:rPr>
      </w:pPr>
      <w:r w:rsidRPr="00FD15A6">
        <w:rPr>
          <w:rFonts w:asciiTheme="majorBidi" w:eastAsia="Times New Roman" w:hAnsiTheme="majorBidi" w:cstheme="majorBidi"/>
          <w:color w:val="000000" w:themeColor="text1"/>
        </w:rPr>
        <w:t xml:space="preserve">In colorimetric </w:t>
      </w:r>
      <w:hyperlink r:id="rId8" w:history="1">
        <w:r w:rsidRPr="00FD15A6">
          <w:rPr>
            <w:rFonts w:asciiTheme="majorBidi" w:eastAsia="Times New Roman" w:hAnsiTheme="majorBidi" w:cstheme="majorBidi"/>
            <w:color w:val="000000" w:themeColor="text1"/>
          </w:rPr>
          <w:t>titration</w:t>
        </w:r>
      </w:hyperlink>
      <w:r w:rsidRPr="00FD15A6">
        <w:rPr>
          <w:rFonts w:asciiTheme="majorBidi" w:eastAsia="Times New Roman" w:hAnsiTheme="majorBidi" w:cstheme="majorBidi"/>
          <w:color w:val="000000" w:themeColor="text1"/>
        </w:rPr>
        <w:t xml:space="preserve">s, this is a color change of the </w:t>
      </w:r>
      <w:hyperlink r:id="rId9" w:history="1">
        <w:r w:rsidRPr="00FD15A6">
          <w:rPr>
            <w:rFonts w:asciiTheme="majorBidi" w:eastAsia="Times New Roman" w:hAnsiTheme="majorBidi" w:cstheme="majorBidi"/>
            <w:color w:val="000000" w:themeColor="text1"/>
          </w:rPr>
          <w:t>indicator</w:t>
        </w:r>
      </w:hyperlink>
    </w:p>
    <w:p w:rsidR="00550F4C" w:rsidRPr="00FD15A6" w:rsidRDefault="00550F4C" w:rsidP="00D53B03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FD15A6">
        <w:rPr>
          <w:rFonts w:asciiTheme="majorBidi" w:hAnsiTheme="majorBidi" w:cstheme="majorBidi"/>
          <w:b/>
          <w:bCs/>
        </w:rPr>
        <w:t>Titration set up:</w:t>
      </w:r>
    </w:p>
    <w:p w:rsidR="00550F4C" w:rsidRPr="00FD15A6" w:rsidRDefault="00DD2202" w:rsidP="00D53B03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FD15A6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42545</wp:posOffset>
            </wp:positionV>
            <wp:extent cx="3990975" cy="1905000"/>
            <wp:effectExtent l="19050" t="0" r="9525" b="0"/>
            <wp:wrapSquare wrapText="bothSides"/>
            <wp:docPr id="1" name="Picture 1" descr="titration set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ration setu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0F4C" w:rsidRPr="00FD15A6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550F4C" w:rsidRPr="00FD15A6" w:rsidRDefault="00550F4C" w:rsidP="00D53B03">
      <w:pPr>
        <w:jc w:val="right"/>
        <w:rPr>
          <w:rFonts w:asciiTheme="majorBidi" w:hAnsiTheme="majorBidi" w:cstheme="majorBidi"/>
          <w:noProof/>
          <w:sz w:val="22"/>
          <w:szCs w:val="22"/>
          <w:rtl/>
        </w:rPr>
      </w:pPr>
    </w:p>
    <w:p w:rsidR="00550F4C" w:rsidRPr="00DE1056" w:rsidRDefault="00550F4C" w:rsidP="00550F4C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15A6">
        <w:rPr>
          <w:rFonts w:asciiTheme="majorBidi" w:hAnsiTheme="majorBidi" w:cstheme="majorBidi"/>
          <w:b/>
          <w:bCs/>
          <w:sz w:val="32"/>
          <w:szCs w:val="32"/>
          <w:rtl/>
        </w:rPr>
        <w:br w:type="textWrapping" w:clear="all"/>
      </w:r>
    </w:p>
    <w:p w:rsidR="004520A3" w:rsidRPr="00CE1A84" w:rsidRDefault="004520A3" w:rsidP="004520A3">
      <w:pPr>
        <w:pStyle w:val="Default"/>
        <w:rPr>
          <w:rFonts w:asciiTheme="majorBidi" w:hAnsiTheme="majorBidi" w:cstheme="majorBidi"/>
          <w:b/>
          <w:bCs/>
        </w:rPr>
      </w:pPr>
      <w:r w:rsidRPr="00CE1A84">
        <w:rPr>
          <w:rFonts w:asciiTheme="majorBidi" w:hAnsiTheme="majorBidi" w:cstheme="majorBidi"/>
          <w:b/>
          <w:bCs/>
        </w:rPr>
        <w:t>The apparatus</w:t>
      </w: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  <w:r w:rsidRPr="00DE1056">
        <w:rPr>
          <w:rFonts w:asciiTheme="majorBidi" w:hAnsiTheme="majorBidi" w:cstheme="majorBidi"/>
          <w:sz w:val="32"/>
          <w:szCs w:val="32"/>
        </w:rPr>
        <w:t xml:space="preserve">  </w:t>
      </w:r>
      <w:r w:rsidRPr="00CE1A84">
        <w:rPr>
          <w:rFonts w:asciiTheme="majorBidi" w:hAnsiTheme="majorBidi" w:cstheme="majorBidi"/>
        </w:rPr>
        <w:t>Conical flask                                                      Burette</w:t>
      </w:r>
      <w:r w:rsidRPr="00CE1A84">
        <w:rPr>
          <w:rFonts w:asciiTheme="majorBidi" w:hAnsiTheme="majorBidi" w:cstheme="majorBidi"/>
          <w:noProof/>
        </w:rPr>
        <w:t xml:space="preserve">                                        </w:t>
      </w:r>
      <w:r w:rsidRPr="00CE1A84">
        <w:rPr>
          <w:rFonts w:asciiTheme="majorBidi" w:hAnsiTheme="majorBidi" w:cstheme="majorBidi"/>
        </w:rPr>
        <w:t xml:space="preserve">             </w:t>
      </w: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      </w:t>
      </w:r>
      <w:r w:rsidRPr="00CE1A84">
        <w:rPr>
          <w:noProof/>
        </w:rPr>
        <w:drawing>
          <wp:inline distT="0" distB="0" distL="0" distR="0">
            <wp:extent cx="770021" cy="1219200"/>
            <wp:effectExtent l="0" t="0" r="0" b="0"/>
            <wp:docPr id="3" name="Picture 2" descr="http://upload.wikimedia.org/wikipedia/commons/thumb/7/77/Conical_flask.svg/300px-Conical_flask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7/77/Conical_flask.svg/300px-Conical_flask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21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A84">
        <w:rPr>
          <w:rFonts w:asciiTheme="majorBidi" w:hAnsiTheme="majorBidi" w:cstheme="majorBidi"/>
        </w:rPr>
        <w:t xml:space="preserve">                                       </w:t>
      </w:r>
      <w:r w:rsidRPr="00CE1A84">
        <w:rPr>
          <w:rFonts w:asciiTheme="majorBidi" w:hAnsiTheme="majorBidi" w:cstheme="majorBidi"/>
          <w:noProof/>
        </w:rPr>
        <w:drawing>
          <wp:inline distT="0" distB="0" distL="0" distR="0">
            <wp:extent cx="1076325" cy="1304925"/>
            <wp:effectExtent l="19050" t="0" r="9525" b="0"/>
            <wp:docPr id="5" name="Picture 12" descr="http://upload.wikimedia.org/wikipedia/commons/0/05/Bur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0/05/Buret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076008" cy="1304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A84">
        <w:rPr>
          <w:rFonts w:asciiTheme="majorBidi" w:hAnsiTheme="majorBidi" w:cstheme="majorBidi"/>
        </w:rPr>
        <w:t xml:space="preserve">                                           </w:t>
      </w: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               </w:t>
      </w: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</w:p>
    <w:p w:rsidR="004520A3" w:rsidRPr="00CE1A84" w:rsidRDefault="004520A3" w:rsidP="004520A3">
      <w:pPr>
        <w:pStyle w:val="Defaul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    Funnel                                                             Pipette          </w:t>
      </w:r>
    </w:p>
    <w:p w:rsidR="004520A3" w:rsidRPr="00CE1A84" w:rsidRDefault="004520A3" w:rsidP="00FD15A6">
      <w:pPr>
        <w:pStyle w:val="Defaul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3810</wp:posOffset>
            </wp:positionV>
            <wp:extent cx="1133475" cy="1543050"/>
            <wp:effectExtent l="19050" t="0" r="9525" b="0"/>
            <wp:wrapSquare wrapText="bothSides"/>
            <wp:docPr id="6" name="ipf73UCLeTlAsoKdM:" descr="http://t2.gstatic.com/images?q=tbn:73UCLeTlAsoKdM:http://www.thesciencefair.com/Merchant2/graphics/00000001/VolPiptSt6_M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73UCLeTlAsoKdM:" descr="http://t2.gstatic.com/images?q=tbn:73UCLeTlAsoKdM:http://www.thesciencefair.com/Merchant2/graphics/00000001/VolPiptSt6_M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1A84">
        <w:rPr>
          <w:rFonts w:asciiTheme="majorBidi" w:hAnsiTheme="majorBidi" w:cstheme="majorBidi"/>
          <w:noProof/>
        </w:rPr>
        <w:drawing>
          <wp:inline distT="0" distB="0" distL="0" distR="0">
            <wp:extent cx="1133475" cy="1609725"/>
            <wp:effectExtent l="19050" t="0" r="9525" b="0"/>
            <wp:docPr id="8" name="Picture 15" descr="http://thenewnormals.org/theseedplant/wp-content/uploads/2009/11/Fun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henewnormals.org/theseedplant/wp-content/uploads/2009/11/Funne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1A84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20A3" w:rsidRPr="00CE1A84" w:rsidRDefault="004520A3" w:rsidP="00550F4C">
      <w:pPr>
        <w:rPr>
          <w:rFonts w:asciiTheme="majorBidi" w:hAnsiTheme="majorBidi" w:cstheme="majorBidi"/>
          <w:b/>
          <w:bCs/>
          <w:rtl/>
        </w:rPr>
      </w:pPr>
    </w:p>
    <w:p w:rsidR="004520A3" w:rsidRPr="00CE1A84" w:rsidRDefault="004520A3" w:rsidP="00550F4C">
      <w:pPr>
        <w:rPr>
          <w:rFonts w:asciiTheme="majorBidi" w:hAnsiTheme="majorBidi" w:cstheme="majorBidi"/>
          <w:b/>
          <w:bCs/>
        </w:rPr>
      </w:pPr>
    </w:p>
    <w:p w:rsidR="00550F4C" w:rsidRPr="00CE1A84" w:rsidRDefault="00550F4C" w:rsidP="00FD15A6">
      <w:pPr>
        <w:jc w:val="right"/>
        <w:rPr>
          <w:rFonts w:asciiTheme="majorBidi" w:hAnsiTheme="majorBidi" w:cstheme="majorBidi"/>
          <w:b/>
          <w:bCs/>
        </w:rPr>
      </w:pPr>
      <w:proofErr w:type="gramStart"/>
      <w:r w:rsidRPr="00CE1A84">
        <w:rPr>
          <w:rFonts w:asciiTheme="majorBidi" w:hAnsiTheme="majorBidi" w:cstheme="majorBidi"/>
          <w:b/>
          <w:bCs/>
        </w:rPr>
        <w:t>Types of titration that will</w:t>
      </w:r>
      <w:r w:rsidR="009F6AB2" w:rsidRPr="00CE1A84">
        <w:rPr>
          <w:rFonts w:asciiTheme="majorBidi" w:hAnsiTheme="majorBidi" w:cstheme="majorBidi"/>
          <w:b/>
          <w:bCs/>
        </w:rPr>
        <w:t xml:space="preserve"> be</w:t>
      </w:r>
      <w:r w:rsidRPr="00CE1A84">
        <w:rPr>
          <w:rFonts w:asciiTheme="majorBidi" w:hAnsiTheme="majorBidi" w:cstheme="majorBidi"/>
          <w:b/>
          <w:bCs/>
        </w:rPr>
        <w:t xml:space="preserve"> encountered in 250</w:t>
      </w:r>
      <w:r w:rsidR="003129DC" w:rsidRPr="00CE1A84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E1A84">
        <w:rPr>
          <w:rFonts w:asciiTheme="majorBidi" w:hAnsiTheme="majorBidi" w:cstheme="majorBidi"/>
          <w:b/>
          <w:bCs/>
        </w:rPr>
        <w:t>chem</w:t>
      </w:r>
      <w:proofErr w:type="spellEnd"/>
      <w:r w:rsidRPr="00CE1A84">
        <w:rPr>
          <w:rFonts w:asciiTheme="majorBidi" w:hAnsiTheme="majorBidi" w:cstheme="majorBidi"/>
          <w:b/>
          <w:bCs/>
        </w:rPr>
        <w:t xml:space="preserve"> la</w:t>
      </w:r>
      <w:r w:rsidR="00FD15A6" w:rsidRPr="00CE1A84">
        <w:rPr>
          <w:rFonts w:asciiTheme="majorBidi" w:hAnsiTheme="majorBidi" w:cstheme="majorBidi"/>
          <w:b/>
          <w:bCs/>
        </w:rPr>
        <w:t>b</w:t>
      </w:r>
      <w:r w:rsidR="005C6F64" w:rsidRPr="00CE1A84">
        <w:rPr>
          <w:rFonts w:asciiTheme="majorBidi" w:hAnsiTheme="majorBidi" w:cstheme="majorBidi"/>
          <w:b/>
          <w:bCs/>
        </w:rPr>
        <w:t>.</w:t>
      </w:r>
      <w:proofErr w:type="gramEnd"/>
      <w:r w:rsidR="005C6F64" w:rsidRPr="00CE1A84">
        <w:rPr>
          <w:rFonts w:asciiTheme="majorBidi" w:hAnsiTheme="majorBidi" w:cstheme="majorBidi"/>
          <w:b/>
          <w:bCs/>
        </w:rPr>
        <w:t xml:space="preserve"> </w:t>
      </w:r>
      <w:r w:rsidRPr="00CE1A84">
        <w:rPr>
          <w:rFonts w:asciiTheme="majorBidi" w:hAnsiTheme="majorBidi" w:cstheme="majorBidi"/>
          <w:b/>
          <w:bCs/>
        </w:rPr>
        <w:t>:</w:t>
      </w:r>
    </w:p>
    <w:p w:rsidR="005C6F64" w:rsidRPr="00CE1A84" w:rsidRDefault="005C6F64" w:rsidP="00D53B03">
      <w:pPr>
        <w:jc w:val="right"/>
        <w:rPr>
          <w:rFonts w:asciiTheme="majorBidi" w:hAnsiTheme="majorBidi" w:cstheme="majorBidi"/>
          <w:b/>
          <w:bCs/>
        </w:rPr>
      </w:pPr>
    </w:p>
    <w:p w:rsidR="00550F4C" w:rsidRPr="00CE1A84" w:rsidRDefault="00550F4C" w:rsidP="00D53B03">
      <w:pPr>
        <w:jc w:val="right"/>
        <w:rPr>
          <w:rFonts w:asciiTheme="majorBidi" w:hAnsiTheme="majorBidi" w:cstheme="majorBidi"/>
          <w:b/>
          <w:bCs/>
        </w:rPr>
      </w:pPr>
    </w:p>
    <w:p w:rsidR="00550F4C" w:rsidRPr="00CE1A84" w:rsidRDefault="003129DC" w:rsidP="003129DC">
      <w:pPr>
        <w:jc w:val="righ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</w:t>
      </w:r>
      <w:r w:rsidR="00550F4C" w:rsidRPr="00CE1A84">
        <w:rPr>
          <w:rFonts w:asciiTheme="majorBidi" w:hAnsiTheme="majorBidi" w:cstheme="majorBidi"/>
        </w:rPr>
        <w:t>1-</w:t>
      </w:r>
      <w:r w:rsidRPr="00CE1A84">
        <w:rPr>
          <w:rFonts w:asciiTheme="majorBidi" w:hAnsiTheme="majorBidi" w:cstheme="majorBidi"/>
        </w:rPr>
        <w:t xml:space="preserve"> N</w:t>
      </w:r>
      <w:r w:rsidR="00550F4C" w:rsidRPr="00CE1A84">
        <w:rPr>
          <w:rFonts w:asciiTheme="majorBidi" w:hAnsiTheme="majorBidi" w:cstheme="majorBidi"/>
        </w:rPr>
        <w:t>eutrali</w:t>
      </w:r>
      <w:r w:rsidR="003A72C1" w:rsidRPr="00CE1A84">
        <w:rPr>
          <w:rFonts w:asciiTheme="majorBidi" w:hAnsiTheme="majorBidi" w:cstheme="majorBidi"/>
        </w:rPr>
        <w:t>za</w:t>
      </w:r>
      <w:r w:rsidR="00550F4C" w:rsidRPr="00CE1A84">
        <w:rPr>
          <w:rFonts w:asciiTheme="majorBidi" w:hAnsiTheme="majorBidi" w:cstheme="majorBidi"/>
        </w:rPr>
        <w:t xml:space="preserve">tion </w:t>
      </w:r>
      <w:r w:rsidR="005C6F64" w:rsidRPr="00CE1A84">
        <w:rPr>
          <w:rFonts w:asciiTheme="majorBidi" w:hAnsiTheme="majorBidi" w:cstheme="majorBidi"/>
        </w:rPr>
        <w:t>titration (Acid –base reaction)</w:t>
      </w:r>
    </w:p>
    <w:p w:rsidR="00550F4C" w:rsidRPr="00CE1A84" w:rsidRDefault="003129DC" w:rsidP="00D53B03">
      <w:pPr>
        <w:jc w:val="righ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</w:t>
      </w:r>
      <w:r w:rsidR="00550F4C" w:rsidRPr="00CE1A84">
        <w:rPr>
          <w:rFonts w:asciiTheme="majorBidi" w:hAnsiTheme="majorBidi" w:cstheme="majorBidi"/>
        </w:rPr>
        <w:t>2-</w:t>
      </w:r>
      <w:r w:rsidRPr="00CE1A84">
        <w:rPr>
          <w:rFonts w:asciiTheme="majorBidi" w:hAnsiTheme="majorBidi" w:cstheme="majorBidi"/>
        </w:rPr>
        <w:t xml:space="preserve"> P</w:t>
      </w:r>
      <w:r w:rsidR="00A227C2" w:rsidRPr="00CE1A84">
        <w:rPr>
          <w:rFonts w:asciiTheme="majorBidi" w:hAnsiTheme="majorBidi" w:cstheme="majorBidi"/>
        </w:rPr>
        <w:t>recipitation titration</w:t>
      </w:r>
      <w:r w:rsidR="00177AC5" w:rsidRPr="00CE1A84">
        <w:rPr>
          <w:rFonts w:asciiTheme="majorBidi" w:hAnsiTheme="majorBidi" w:cstheme="majorBidi"/>
        </w:rPr>
        <w:t>.</w:t>
      </w:r>
    </w:p>
    <w:p w:rsidR="003129DC" w:rsidRPr="00CE1A84" w:rsidRDefault="003129DC" w:rsidP="003129DC">
      <w:pPr>
        <w:jc w:val="righ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</w:t>
      </w:r>
      <w:r w:rsidR="003A72C1" w:rsidRPr="00CE1A84">
        <w:rPr>
          <w:rFonts w:asciiTheme="majorBidi" w:hAnsiTheme="majorBidi" w:cstheme="majorBidi"/>
        </w:rPr>
        <w:t>3</w:t>
      </w:r>
      <w:r w:rsidR="00A227C2" w:rsidRPr="00CE1A84">
        <w:rPr>
          <w:rFonts w:asciiTheme="majorBidi" w:hAnsiTheme="majorBidi" w:cstheme="majorBidi"/>
        </w:rPr>
        <w:t>-</w:t>
      </w:r>
      <w:r w:rsidRPr="00CE1A84">
        <w:rPr>
          <w:rFonts w:asciiTheme="majorBidi" w:hAnsiTheme="majorBidi" w:cstheme="majorBidi"/>
        </w:rPr>
        <w:t xml:space="preserve"> </w:t>
      </w:r>
      <w:proofErr w:type="spellStart"/>
      <w:r w:rsidRPr="00CE1A84">
        <w:rPr>
          <w:rFonts w:asciiTheme="majorBidi" w:hAnsiTheme="majorBidi" w:cstheme="majorBidi"/>
        </w:rPr>
        <w:t>C</w:t>
      </w:r>
      <w:r w:rsidR="003A72C1" w:rsidRPr="00CE1A84">
        <w:rPr>
          <w:rFonts w:asciiTheme="majorBidi" w:hAnsiTheme="majorBidi" w:cstheme="majorBidi"/>
        </w:rPr>
        <w:t>omplexometric</w:t>
      </w:r>
      <w:proofErr w:type="spellEnd"/>
      <w:r w:rsidR="00A227C2" w:rsidRPr="00CE1A84">
        <w:rPr>
          <w:rFonts w:asciiTheme="majorBidi" w:hAnsiTheme="majorBidi" w:cstheme="majorBidi"/>
        </w:rPr>
        <w:t xml:space="preserve"> titration</w:t>
      </w:r>
      <w:r w:rsidR="00177AC5" w:rsidRPr="00CE1A84">
        <w:rPr>
          <w:rFonts w:asciiTheme="majorBidi" w:hAnsiTheme="majorBidi" w:cstheme="majorBidi"/>
        </w:rPr>
        <w:t>.</w:t>
      </w:r>
    </w:p>
    <w:p w:rsidR="00A227C2" w:rsidRPr="00177AC5" w:rsidRDefault="003A72C1" w:rsidP="003129DC">
      <w:pPr>
        <w:jc w:val="right"/>
        <w:rPr>
          <w:rFonts w:asciiTheme="majorBidi" w:hAnsiTheme="majorBidi" w:cstheme="majorBidi"/>
        </w:rPr>
      </w:pPr>
      <w:r w:rsidRPr="00CE1A84">
        <w:rPr>
          <w:rFonts w:asciiTheme="majorBidi" w:hAnsiTheme="majorBidi" w:cstheme="majorBidi"/>
        </w:rPr>
        <w:t xml:space="preserve"> 4-</w:t>
      </w:r>
      <w:r w:rsidR="003129DC" w:rsidRPr="00CE1A84">
        <w:rPr>
          <w:rFonts w:asciiTheme="majorBidi" w:hAnsiTheme="majorBidi" w:cstheme="majorBidi"/>
        </w:rPr>
        <w:t xml:space="preserve"> </w:t>
      </w:r>
      <w:proofErr w:type="spellStart"/>
      <w:r w:rsidR="003129DC" w:rsidRPr="00CE1A84">
        <w:rPr>
          <w:rFonts w:asciiTheme="majorBidi" w:hAnsiTheme="majorBidi" w:cstheme="majorBidi"/>
        </w:rPr>
        <w:t>R</w:t>
      </w:r>
      <w:r w:rsidRPr="00CE1A84">
        <w:rPr>
          <w:rFonts w:asciiTheme="majorBidi" w:hAnsiTheme="majorBidi" w:cstheme="majorBidi"/>
        </w:rPr>
        <w:t>edox</w:t>
      </w:r>
      <w:proofErr w:type="spellEnd"/>
      <w:r w:rsidR="00DD2202" w:rsidRPr="00CE1A84">
        <w:rPr>
          <w:rFonts w:asciiTheme="majorBidi" w:hAnsiTheme="majorBidi" w:cstheme="majorBidi"/>
        </w:rPr>
        <w:t xml:space="preserve"> titration</w:t>
      </w:r>
      <w:r w:rsidR="00177AC5" w:rsidRPr="00CE1A84">
        <w:rPr>
          <w:rFonts w:asciiTheme="majorBidi" w:hAnsiTheme="majorBidi" w:cstheme="majorBidi"/>
        </w:rPr>
        <w:t>.</w:t>
      </w:r>
    </w:p>
    <w:p w:rsidR="005C6F64" w:rsidRPr="00177AC5" w:rsidRDefault="005C6F64" w:rsidP="003A72C1">
      <w:pPr>
        <w:jc w:val="center"/>
        <w:rPr>
          <w:rFonts w:asciiTheme="majorBidi" w:hAnsiTheme="majorBidi" w:cstheme="majorBidi"/>
          <w:b/>
          <w:bCs/>
          <w:rtl/>
        </w:rPr>
      </w:pPr>
    </w:p>
    <w:p w:rsidR="005C6F64" w:rsidRPr="00DE1056" w:rsidRDefault="005C6F64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C6F64" w:rsidRPr="00DE1056" w:rsidRDefault="005C6F64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15B5A" w:rsidRDefault="00D15B5A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15B5A" w:rsidRDefault="00D15B5A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15B5A" w:rsidRDefault="00D15B5A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15B5A" w:rsidRDefault="00D15B5A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D15A6" w:rsidRDefault="00FD15A6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D15A6" w:rsidRDefault="00FD15A6" w:rsidP="003A72C1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CE1A84" w:rsidRDefault="00CE1A84" w:rsidP="003A72C1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CE1A84" w:rsidRDefault="00CE1A84" w:rsidP="003A72C1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D15B5A" w:rsidRDefault="00D15B5A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D2202" w:rsidRPr="00FD15A6" w:rsidRDefault="005C6F64" w:rsidP="003A72C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15A6">
        <w:rPr>
          <w:rFonts w:asciiTheme="majorBidi" w:hAnsiTheme="majorBidi" w:cstheme="majorBidi"/>
          <w:b/>
          <w:bCs/>
          <w:sz w:val="32"/>
          <w:szCs w:val="32"/>
        </w:rPr>
        <w:lastRenderedPageBreak/>
        <w:t>Acid –base reaction</w:t>
      </w:r>
      <w:r w:rsidR="00D15B5A" w:rsidRPr="00FD15A6">
        <w:rPr>
          <w:rFonts w:asciiTheme="majorBidi" w:hAnsiTheme="majorBidi" w:cstheme="majorBidi"/>
          <w:b/>
          <w:bCs/>
          <w:sz w:val="32"/>
          <w:szCs w:val="32"/>
        </w:rPr>
        <w:t>s</w:t>
      </w:r>
    </w:p>
    <w:p w:rsidR="00DD2202" w:rsidRPr="00DE1056" w:rsidRDefault="00DD2202" w:rsidP="00DD2202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B4502C" w:rsidRPr="00DE1056" w:rsidRDefault="00B4502C" w:rsidP="00D42107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42107" w:rsidRPr="00FD15A6" w:rsidRDefault="00D42107" w:rsidP="00D42107">
      <w:pPr>
        <w:jc w:val="righ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</w:rPr>
        <w:t>These titrations are based on the neutralization reaction that occurs between an acid and a base, when mixed in solution</w:t>
      </w:r>
      <w:r w:rsidR="004520A3" w:rsidRPr="00FD15A6">
        <w:rPr>
          <w:rFonts w:asciiTheme="majorBidi" w:hAnsiTheme="majorBidi" w:cstheme="majorBidi"/>
        </w:rPr>
        <w:t>.</w:t>
      </w:r>
    </w:p>
    <w:p w:rsidR="00B4502C" w:rsidRPr="00FD15A6" w:rsidRDefault="00B4502C" w:rsidP="00D42107">
      <w:pPr>
        <w:jc w:val="right"/>
        <w:rPr>
          <w:rFonts w:asciiTheme="majorBidi" w:hAnsiTheme="majorBidi" w:cstheme="majorBidi"/>
          <w:rtl/>
        </w:rPr>
      </w:pPr>
    </w:p>
    <w:p w:rsidR="003129DC" w:rsidRPr="00FD15A6" w:rsidRDefault="003129DC" w:rsidP="00D42107">
      <w:pPr>
        <w:jc w:val="right"/>
        <w:rPr>
          <w:rFonts w:asciiTheme="majorBidi" w:hAnsiTheme="majorBidi" w:cstheme="majorBidi"/>
        </w:rPr>
      </w:pPr>
    </w:p>
    <w:tbl>
      <w:tblPr>
        <w:tblW w:w="10500" w:type="dxa"/>
        <w:jc w:val="center"/>
        <w:tblCellSpacing w:w="15" w:type="dxa"/>
        <w:tblBorders>
          <w:top w:val="outset" w:sz="12" w:space="0" w:color="FFFFFF"/>
          <w:left w:val="outset" w:sz="12" w:space="0" w:color="FFFFFF"/>
          <w:bottom w:val="outset" w:sz="12" w:space="0" w:color="FFFFFF"/>
          <w:right w:val="outset" w:sz="1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8"/>
        <w:gridCol w:w="629"/>
        <w:gridCol w:w="2339"/>
        <w:gridCol w:w="1282"/>
        <w:gridCol w:w="1846"/>
        <w:gridCol w:w="735"/>
        <w:gridCol w:w="1861"/>
      </w:tblGrid>
      <w:tr w:rsidR="00D42107" w:rsidRPr="00FD15A6" w:rsidTr="00D42107">
        <w:trPr>
          <w:tblCellSpacing w:w="15" w:type="dxa"/>
          <w:jc w:val="center"/>
        </w:trPr>
        <w:tc>
          <w:tcPr>
            <w:tcW w:w="15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 xml:space="preserve">Acid </w:t>
            </w:r>
          </w:p>
        </w:tc>
        <w:tc>
          <w:tcPr>
            <w:tcW w:w="5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+</w:t>
            </w:r>
          </w:p>
        </w:tc>
        <w:tc>
          <w:tcPr>
            <w:tcW w:w="196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 xml:space="preserve">Base </w:t>
            </w:r>
          </w:p>
        </w:tc>
        <w:tc>
          <w:tcPr>
            <w:tcW w:w="106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  <w:color w:val="FF0000"/>
              </w:rPr>
              <w:drawing>
                <wp:inline distT="0" distB="0" distL="0" distR="0">
                  <wp:extent cx="190500" cy="95250"/>
                  <wp:effectExtent l="19050" t="0" r="0" b="0"/>
                  <wp:docPr id="2" name="Picture 1" descr="http://www.saskschools.ca/curr_content/chem30/images/d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askschools.ca/curr_content/chem30/images/d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 xml:space="preserve">a Salt </w:t>
            </w:r>
          </w:p>
        </w:tc>
        <w:tc>
          <w:tcPr>
            <w:tcW w:w="6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+</w:t>
            </w:r>
          </w:p>
        </w:tc>
        <w:tc>
          <w:tcPr>
            <w:tcW w:w="154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FD15A6">
              <w:rPr>
                <w:rFonts w:asciiTheme="majorBidi" w:eastAsia="Times New Roman" w:hAnsiTheme="majorBidi" w:cstheme="majorBidi"/>
                <w:color w:val="000000" w:themeColor="text1"/>
              </w:rPr>
              <w:t>water</w:t>
            </w:r>
          </w:p>
        </w:tc>
      </w:tr>
      <w:tr w:rsidR="00D42107" w:rsidRPr="00FD15A6" w:rsidTr="00D42107">
        <w:trPr>
          <w:tblCellSpacing w:w="15" w:type="dxa"/>
          <w:jc w:val="center"/>
        </w:trPr>
        <w:tc>
          <w:tcPr>
            <w:tcW w:w="15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51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196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106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noProof/>
                <w:color w:val="FF0000"/>
              </w:rPr>
            </w:pPr>
          </w:p>
        </w:tc>
        <w:tc>
          <w:tcPr>
            <w:tcW w:w="154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60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154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42107" w:rsidRPr="00FD15A6" w:rsidRDefault="00D42107" w:rsidP="00D42107">
            <w:pPr>
              <w:bidi w:val="0"/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</w:tr>
    </w:tbl>
    <w:p w:rsidR="00D42107" w:rsidRPr="00FD15A6" w:rsidRDefault="00D42107" w:rsidP="00D4210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B4502C" w:rsidRPr="00FD15A6" w:rsidRDefault="00B4502C" w:rsidP="000D316C">
      <w:pPr>
        <w:pStyle w:val="Heading2"/>
        <w:rPr>
          <w:rFonts w:asciiTheme="majorBidi" w:hAnsiTheme="majorBidi" w:cstheme="majorBidi"/>
          <w:b/>
          <w:bCs/>
          <w:color w:val="000000" w:themeColor="text1"/>
        </w:rPr>
      </w:pPr>
    </w:p>
    <w:p w:rsidR="00B4502C" w:rsidRPr="00FD15A6" w:rsidRDefault="00B4502C" w:rsidP="00B4502C">
      <w:pPr>
        <w:pStyle w:val="Heading2"/>
        <w:rPr>
          <w:rFonts w:asciiTheme="majorBidi" w:hAnsiTheme="majorBidi" w:cstheme="majorBidi"/>
          <w:b/>
          <w:bCs/>
          <w:color w:val="000000" w:themeColor="text1"/>
        </w:rPr>
      </w:pPr>
    </w:p>
    <w:p w:rsidR="000D316C" w:rsidRPr="00FD15A6" w:rsidRDefault="000D316C" w:rsidP="00B4502C">
      <w:pPr>
        <w:pStyle w:val="Heading2"/>
        <w:rPr>
          <w:rFonts w:asciiTheme="majorBidi" w:hAnsiTheme="majorBidi" w:cstheme="majorBidi"/>
          <w:b/>
          <w:bCs/>
          <w:color w:val="000000" w:themeColor="text1"/>
        </w:rPr>
      </w:pPr>
      <w:r w:rsidRPr="00FD15A6">
        <w:rPr>
          <w:rFonts w:asciiTheme="majorBidi" w:hAnsiTheme="majorBidi" w:cstheme="majorBidi"/>
          <w:b/>
          <w:bCs/>
          <w:color w:val="000000" w:themeColor="text1"/>
        </w:rPr>
        <w:t>Key Concepts</w:t>
      </w:r>
      <w:r w:rsidR="00B4502C" w:rsidRPr="00FD15A6">
        <w:rPr>
          <w:rFonts w:asciiTheme="majorBidi" w:hAnsiTheme="majorBidi" w:cstheme="majorBidi"/>
          <w:b/>
          <w:bCs/>
          <w:color w:val="000000" w:themeColor="text1"/>
        </w:rPr>
        <w:t>:</w:t>
      </w:r>
    </w:p>
    <w:p w:rsidR="000D316C" w:rsidRPr="00FD15A6" w:rsidRDefault="003129DC" w:rsidP="003129DC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 w:themeColor="text1"/>
        </w:rPr>
      </w:pPr>
      <w:r w:rsidRPr="00FD15A6">
        <w:rPr>
          <w:rFonts w:asciiTheme="majorBidi" w:hAnsiTheme="majorBidi" w:cstheme="majorBidi"/>
          <w:color w:val="000000" w:themeColor="text1"/>
        </w:rPr>
        <w:t>A</w:t>
      </w:r>
      <w:r w:rsidR="000D316C" w:rsidRPr="00FD15A6">
        <w:rPr>
          <w:rFonts w:asciiTheme="majorBidi" w:hAnsiTheme="majorBidi" w:cstheme="majorBidi"/>
          <w:color w:val="000000" w:themeColor="text1"/>
        </w:rPr>
        <w:t xml:space="preserve">cid-base </w:t>
      </w:r>
      <w:r w:rsidR="009F5C72">
        <w:rPr>
          <w:rFonts w:asciiTheme="majorBidi" w:hAnsiTheme="majorBidi" w:cstheme="majorBidi"/>
          <w:color w:val="000000" w:themeColor="text1"/>
        </w:rPr>
        <w:t xml:space="preserve"> </w:t>
      </w:r>
      <w:r w:rsidR="000D316C" w:rsidRPr="00FD15A6">
        <w:rPr>
          <w:rFonts w:asciiTheme="majorBidi" w:hAnsiTheme="majorBidi" w:cstheme="majorBidi"/>
          <w:color w:val="000000" w:themeColor="text1"/>
        </w:rPr>
        <w:t xml:space="preserve">reactions involve a proton transfer </w:t>
      </w:r>
    </w:p>
    <w:p w:rsidR="00B4502C" w:rsidRPr="00FD15A6" w:rsidRDefault="003129DC" w:rsidP="004520A3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 w:themeColor="text1"/>
        </w:rPr>
      </w:pPr>
      <w:r w:rsidRPr="00FD15A6">
        <w:rPr>
          <w:rFonts w:asciiTheme="majorBidi" w:hAnsiTheme="majorBidi" w:cstheme="majorBidi"/>
          <w:color w:val="000000" w:themeColor="text1"/>
        </w:rPr>
        <w:t>T</w:t>
      </w:r>
      <w:r w:rsidR="000D316C" w:rsidRPr="00FD15A6">
        <w:rPr>
          <w:rFonts w:asciiTheme="majorBidi" w:hAnsiTheme="majorBidi" w:cstheme="majorBidi"/>
          <w:color w:val="000000" w:themeColor="text1"/>
        </w:rPr>
        <w:t>he ac</w:t>
      </w:r>
      <w:r w:rsidR="00B4502C" w:rsidRPr="00FD15A6">
        <w:rPr>
          <w:rFonts w:asciiTheme="majorBidi" w:hAnsiTheme="majorBidi" w:cstheme="majorBidi"/>
          <w:color w:val="000000" w:themeColor="text1"/>
        </w:rPr>
        <w:t>id donates a proton to the base</w:t>
      </w:r>
    </w:p>
    <w:p w:rsidR="00B4502C" w:rsidRPr="00FD15A6" w:rsidRDefault="003129DC" w:rsidP="00B4502C">
      <w:pPr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 w:themeColor="text1"/>
        </w:rPr>
      </w:pPr>
      <w:r w:rsidRPr="00FD15A6">
        <w:rPr>
          <w:rFonts w:asciiTheme="majorBidi" w:hAnsiTheme="majorBidi" w:cstheme="majorBidi"/>
          <w:color w:val="000000" w:themeColor="text1"/>
        </w:rPr>
        <w:t>A</w:t>
      </w:r>
      <w:r w:rsidR="000D316C" w:rsidRPr="00FD15A6">
        <w:rPr>
          <w:rFonts w:asciiTheme="majorBidi" w:hAnsiTheme="majorBidi" w:cstheme="majorBidi"/>
          <w:color w:val="000000" w:themeColor="text1"/>
        </w:rPr>
        <w:t xml:space="preserve">cid-base reactions are also known as </w:t>
      </w:r>
      <w:r w:rsidR="005C6F64" w:rsidRPr="00FD15A6">
        <w:rPr>
          <w:rFonts w:asciiTheme="majorBidi" w:hAnsiTheme="majorBidi" w:cstheme="majorBidi"/>
          <w:color w:val="000000" w:themeColor="text1"/>
        </w:rPr>
        <w:t>neutralization</w:t>
      </w:r>
      <w:r w:rsidR="000D316C" w:rsidRPr="00FD15A6">
        <w:rPr>
          <w:rFonts w:asciiTheme="majorBidi" w:hAnsiTheme="majorBidi" w:cstheme="majorBidi"/>
          <w:color w:val="000000" w:themeColor="text1"/>
        </w:rPr>
        <w:t xml:space="preserve"> reactions</w:t>
      </w:r>
    </w:p>
    <w:p w:rsidR="00B4502C" w:rsidRPr="00FD15A6" w:rsidRDefault="000D316C" w:rsidP="00B4502C">
      <w:pPr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 w:themeColor="text1"/>
        </w:rPr>
      </w:pPr>
      <w:r w:rsidRPr="00FD15A6">
        <w:rPr>
          <w:rFonts w:asciiTheme="majorBidi" w:hAnsiTheme="majorBidi" w:cstheme="majorBidi"/>
          <w:color w:val="000000" w:themeColor="text1"/>
        </w:rPr>
        <w:t>Equivalence point is the point at which the moles of H</w:t>
      </w:r>
      <w:r w:rsidRPr="00FD15A6">
        <w:rPr>
          <w:rFonts w:asciiTheme="majorBidi" w:hAnsiTheme="majorBidi" w:cstheme="majorBidi"/>
          <w:color w:val="000000" w:themeColor="text1"/>
          <w:vertAlign w:val="superscript"/>
        </w:rPr>
        <w:t>+</w:t>
      </w:r>
      <w:r w:rsidRPr="00FD15A6">
        <w:rPr>
          <w:rFonts w:asciiTheme="majorBidi" w:hAnsiTheme="majorBidi" w:cstheme="majorBidi"/>
          <w:color w:val="000000" w:themeColor="text1"/>
        </w:rPr>
        <w:t xml:space="preserve"> is equal to the moles of OH</w:t>
      </w:r>
      <w:r w:rsidRPr="00FD15A6">
        <w:rPr>
          <w:rFonts w:asciiTheme="majorBidi" w:hAnsiTheme="majorBidi" w:cstheme="majorBidi"/>
          <w:color w:val="000000" w:themeColor="text1"/>
          <w:vertAlign w:val="superscript"/>
        </w:rPr>
        <w:t>-</w:t>
      </w:r>
      <w:r w:rsidR="003129DC" w:rsidRPr="00FD15A6">
        <w:rPr>
          <w:rFonts w:asciiTheme="majorBidi" w:hAnsiTheme="majorBidi" w:cstheme="majorBidi"/>
          <w:color w:val="000000" w:themeColor="text1"/>
        </w:rPr>
        <w:t xml:space="preserve"> </w:t>
      </w:r>
    </w:p>
    <w:p w:rsidR="00B4502C" w:rsidRPr="00FD15A6" w:rsidRDefault="000D316C" w:rsidP="003129DC">
      <w:pPr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 w:themeColor="text1"/>
        </w:rPr>
      </w:pPr>
      <w:r w:rsidRPr="00FD15A6">
        <w:rPr>
          <w:rFonts w:asciiTheme="majorBidi" w:hAnsiTheme="majorBidi" w:cstheme="majorBidi"/>
          <w:color w:val="000000" w:themeColor="text1"/>
        </w:rPr>
        <w:t xml:space="preserve">An </w:t>
      </w:r>
      <w:hyperlink r:id="rId17" w:history="1">
        <w:r w:rsidRPr="00FD15A6">
          <w:rPr>
            <w:rStyle w:val="Hyperlink"/>
            <w:rFonts w:asciiTheme="majorBidi" w:hAnsiTheme="majorBidi" w:cstheme="majorBidi"/>
            <w:color w:val="000000" w:themeColor="text1"/>
          </w:rPr>
          <w:t>indicator</w:t>
        </w:r>
      </w:hyperlink>
      <w:r w:rsidRPr="00FD15A6">
        <w:rPr>
          <w:rFonts w:asciiTheme="majorBidi" w:hAnsiTheme="majorBidi" w:cstheme="majorBidi"/>
          <w:color w:val="000000" w:themeColor="text1"/>
        </w:rPr>
        <w:t xml:space="preserve"> is used to show the equivalence point during a titration</w:t>
      </w:r>
    </w:p>
    <w:p w:rsidR="00956FE1" w:rsidRPr="00FD15A6" w:rsidRDefault="000D316C" w:rsidP="009F5C72">
      <w:pPr>
        <w:jc w:val="right"/>
        <w:rPr>
          <w:rFonts w:asciiTheme="majorBidi" w:hAnsiTheme="majorBidi" w:cstheme="majorBidi"/>
          <w:b/>
          <w:bCs/>
          <w:rtl/>
        </w:rPr>
      </w:pPr>
      <w:r w:rsidRPr="00FD15A6">
        <w:rPr>
          <w:rFonts w:asciiTheme="majorBidi" w:hAnsiTheme="majorBidi" w:cstheme="majorBidi"/>
        </w:rPr>
        <w:t xml:space="preserve"> </w:t>
      </w:r>
    </w:p>
    <w:p w:rsidR="00956FE1" w:rsidRPr="00FD15A6" w:rsidRDefault="00956FE1" w:rsidP="00956FE1">
      <w:pPr>
        <w:jc w:val="right"/>
        <w:rPr>
          <w:rFonts w:asciiTheme="majorBidi" w:hAnsiTheme="majorBidi" w:cstheme="majorBidi"/>
          <w:b/>
          <w:bCs/>
          <w:rtl/>
        </w:rPr>
      </w:pPr>
      <w:r w:rsidRPr="00FD15A6">
        <w:rPr>
          <w:rFonts w:asciiTheme="majorBidi" w:hAnsiTheme="majorBidi" w:cstheme="majorBidi"/>
          <w:b/>
          <w:bCs/>
        </w:rPr>
        <w:t>Acid-base Titration curves:</w:t>
      </w:r>
    </w:p>
    <w:p w:rsidR="00956FE1" w:rsidRPr="00FD15A6" w:rsidRDefault="00956FE1" w:rsidP="00956FE1">
      <w:pPr>
        <w:jc w:val="right"/>
        <w:rPr>
          <w:rFonts w:asciiTheme="majorBidi" w:hAnsiTheme="majorBidi" w:cstheme="majorBidi"/>
        </w:rPr>
      </w:pPr>
    </w:p>
    <w:p w:rsidR="00956FE1" w:rsidRPr="00FD15A6" w:rsidRDefault="00956FE1" w:rsidP="00956FE1">
      <w:pPr>
        <w:jc w:val="right"/>
        <w:rPr>
          <w:rFonts w:asciiTheme="majorBidi" w:hAnsiTheme="majorBidi" w:cstheme="majorBidi"/>
        </w:rPr>
      </w:pPr>
    </w:p>
    <w:p w:rsidR="00956FE1" w:rsidRPr="00FD15A6" w:rsidRDefault="00956FE1" w:rsidP="009F5C72">
      <w:pPr>
        <w:rPr>
          <w:rFonts w:asciiTheme="majorBidi" w:hAnsiTheme="majorBidi" w:cstheme="majorBidi"/>
          <w:rtl/>
        </w:rPr>
      </w:pPr>
      <w:r w:rsidRPr="00FD15A6">
        <w:rPr>
          <w:rFonts w:asciiTheme="majorBidi" w:hAnsiTheme="majorBidi" w:cstheme="majorBidi"/>
        </w:rPr>
        <w:t>.</w:t>
      </w:r>
    </w:p>
    <w:tbl>
      <w:tblPr>
        <w:tblW w:w="9300" w:type="dxa"/>
        <w:jc w:val="center"/>
        <w:tblCellSpacing w:w="15" w:type="dxa"/>
        <w:tblBorders>
          <w:top w:val="single" w:sz="12" w:space="0" w:color="FFFFC6"/>
          <w:left w:val="single" w:sz="12" w:space="0" w:color="FFFF6B"/>
          <w:bottom w:val="single" w:sz="12" w:space="0" w:color="FFFF42"/>
          <w:right w:val="single" w:sz="12" w:space="0" w:color="FFFF9C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9"/>
        <w:gridCol w:w="2269"/>
        <w:gridCol w:w="1899"/>
        <w:gridCol w:w="3623"/>
      </w:tblGrid>
      <w:tr w:rsidR="00956FE1" w:rsidRPr="00FD15A6" w:rsidTr="00E97638">
        <w:trPr>
          <w:trHeight w:val="462"/>
          <w:tblCellSpacing w:w="15" w:type="dxa"/>
          <w:jc w:val="center"/>
        </w:trPr>
        <w:tc>
          <w:tcPr>
            <w:tcW w:w="0" w:type="auto"/>
            <w:tcBorders>
              <w:top w:val="single" w:sz="12" w:space="0" w:color="FFFFC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FE1" w:rsidRPr="00FD15A6" w:rsidRDefault="00956FE1" w:rsidP="00E97638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</w:rPr>
              <w:t>General Type</w:t>
            </w:r>
          </w:p>
        </w:tc>
        <w:tc>
          <w:tcPr>
            <w:tcW w:w="0" w:type="auto"/>
            <w:tcBorders>
              <w:top w:val="single" w:sz="12" w:space="0" w:color="FFFFC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FE1" w:rsidRPr="00FD15A6" w:rsidRDefault="00956FE1" w:rsidP="00E97638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</w:rPr>
              <w:t>Example</w:t>
            </w:r>
          </w:p>
        </w:tc>
        <w:tc>
          <w:tcPr>
            <w:tcW w:w="0" w:type="auto"/>
            <w:tcBorders>
              <w:top w:val="single" w:sz="12" w:space="0" w:color="FFFFC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FE1" w:rsidRPr="00FD15A6" w:rsidRDefault="00956FE1" w:rsidP="00E97638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</w:rPr>
              <w:t>Typical Titration Curve</w:t>
            </w:r>
          </w:p>
        </w:tc>
        <w:tc>
          <w:tcPr>
            <w:tcW w:w="0" w:type="auto"/>
            <w:tcBorders>
              <w:top w:val="single" w:sz="12" w:space="0" w:color="FFFFC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6FE1" w:rsidRPr="00FD15A6" w:rsidRDefault="00956FE1" w:rsidP="00E97638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D15A6">
              <w:rPr>
                <w:rFonts w:asciiTheme="majorBidi" w:eastAsia="Times New Roman" w:hAnsiTheme="majorBidi" w:cstheme="majorBidi"/>
                <w:b/>
                <w:bCs/>
              </w:rPr>
              <w:t>Features of Curve</w:t>
            </w:r>
          </w:p>
        </w:tc>
      </w:tr>
      <w:tr w:rsidR="00956FE1" w:rsidRPr="00FD15A6" w:rsidTr="00E97638">
        <w:trPr>
          <w:trHeight w:val="223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Strong Acid and Strong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HCl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added to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NaOH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</w:rPr>
              <w:drawing>
                <wp:inline distT="0" distB="0" distL="0" distR="0">
                  <wp:extent cx="952500" cy="1428750"/>
                  <wp:effectExtent l="19050" t="0" r="0" b="0"/>
                  <wp:docPr id="4" name="Picture 4" descr="http://www.ausetute.com.au/../images/titphsa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usetute.com.au/../images/titphsa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 xml:space="preserve">Curve begins at high pH typical of strong base and ends at low pH typical of strong acid. </w:t>
            </w:r>
          </w:p>
          <w:p w:rsidR="00956FE1" w:rsidRPr="00FD15A6" w:rsidRDefault="00956FE1" w:rsidP="00E97638">
            <w:pPr>
              <w:bidi w:val="0"/>
              <w:spacing w:before="100" w:beforeAutospacing="1" w:after="100" w:afterAutospacing="1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There is a large rapid change in pH near the equivalence point (pH =7).</w:t>
            </w:r>
          </w:p>
        </w:tc>
      </w:tr>
      <w:tr w:rsidR="00956FE1" w:rsidRPr="00FD15A6" w:rsidTr="00E97638">
        <w:trPr>
          <w:trHeight w:val="223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Strong Base and strong Acid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NaOH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added to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HCl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</w:rPr>
              <w:drawing>
                <wp:inline distT="0" distB="0" distL="0" distR="0">
                  <wp:extent cx="952500" cy="1428750"/>
                  <wp:effectExtent l="19050" t="0" r="0" b="0"/>
                  <wp:docPr id="7" name="Picture 5" descr="http://www.ausetute.com.au/../images/titphsb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usetute.com.au/../images/titphsb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 xml:space="preserve">Curve begins at low pH typical of strong acid, and ends at high pH typical of strong base. </w:t>
            </w:r>
          </w:p>
          <w:p w:rsidR="00956FE1" w:rsidRPr="00FD15A6" w:rsidRDefault="00956FE1" w:rsidP="00E97638">
            <w:pPr>
              <w:bidi w:val="0"/>
              <w:spacing w:before="100" w:beforeAutospacing="1" w:after="100" w:afterAutospacing="1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There is a large rapid change in pH near the equivalence point (pH=7).</w:t>
            </w:r>
          </w:p>
        </w:tc>
      </w:tr>
      <w:tr w:rsidR="00956FE1" w:rsidRPr="00FD15A6" w:rsidTr="00E97638">
        <w:trPr>
          <w:trHeight w:val="223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lastRenderedPageBreak/>
              <w:t>Weak Acid and Strong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NaOH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added to acetic acid (CH</w:t>
            </w:r>
            <w:r w:rsidRPr="00FD15A6">
              <w:rPr>
                <w:rFonts w:asciiTheme="majorBidi" w:eastAsia="Times New Roman" w:hAnsiTheme="majorBidi" w:cstheme="majorBidi"/>
                <w:vertAlign w:val="subscript"/>
              </w:rPr>
              <w:t>3</w:t>
            </w:r>
            <w:r w:rsidRPr="00FD15A6">
              <w:rPr>
                <w:rFonts w:asciiTheme="majorBidi" w:eastAsia="Times New Roman" w:hAnsiTheme="majorBidi" w:cstheme="majorBidi"/>
              </w:rPr>
              <w:t>COOH)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</w:rPr>
              <w:drawing>
                <wp:inline distT="0" distB="0" distL="0" distR="0">
                  <wp:extent cx="952500" cy="1428750"/>
                  <wp:effectExtent l="19050" t="0" r="0" b="0"/>
                  <wp:docPr id="10" name="Picture 6" descr="http://www.ausetute.com.au/../images/titpsbw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usetute.com.au/../images/titpsbw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 xml:space="preserve">Curve begins at a higher acidic pH and ends at high basic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pH.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956FE1" w:rsidRPr="00FD15A6" w:rsidRDefault="00956FE1" w:rsidP="00E97638">
            <w:pPr>
              <w:bidi w:val="0"/>
              <w:spacing w:before="100" w:beforeAutospacing="1" w:after="100" w:afterAutospacing="1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The pH change at the equivalence point (pH &gt; 7</w:t>
            </w:r>
            <w:proofErr w:type="gramStart"/>
            <w:r w:rsidRPr="00FD15A6">
              <w:rPr>
                <w:rFonts w:asciiTheme="majorBidi" w:eastAsia="Times New Roman" w:hAnsiTheme="majorBidi" w:cstheme="majorBidi"/>
              </w:rPr>
              <w:t>)is</w:t>
            </w:r>
            <w:proofErr w:type="gramEnd"/>
            <w:r w:rsidRPr="00FD15A6">
              <w:rPr>
                <w:rFonts w:asciiTheme="majorBidi" w:eastAsia="Times New Roman" w:hAnsiTheme="majorBidi" w:cstheme="majorBidi"/>
              </w:rPr>
              <w:t xml:space="preserve"> not so great.</w:t>
            </w:r>
          </w:p>
        </w:tc>
      </w:tr>
      <w:tr w:rsidR="00956FE1" w:rsidRPr="00FD15A6" w:rsidTr="00E97638">
        <w:trPr>
          <w:trHeight w:val="223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Strong Acid and Weak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Ammonia (NH</w:t>
            </w:r>
            <w:r w:rsidRPr="00FD15A6">
              <w:rPr>
                <w:rFonts w:asciiTheme="majorBidi" w:eastAsia="Times New Roman" w:hAnsiTheme="majorBidi" w:cstheme="majorBidi"/>
                <w:vertAlign w:val="subscript"/>
              </w:rPr>
              <w:t>3</w:t>
            </w:r>
            <w:r w:rsidRPr="00FD15A6">
              <w:rPr>
                <w:rFonts w:asciiTheme="majorBidi" w:eastAsia="Times New Roman" w:hAnsiTheme="majorBidi" w:cstheme="majorBidi"/>
              </w:rPr>
              <w:t xml:space="preserve">) added to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HCl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</w:rPr>
              <w:drawing>
                <wp:inline distT="0" distB="0" distL="0" distR="0">
                  <wp:extent cx="952500" cy="1428750"/>
                  <wp:effectExtent l="19050" t="0" r="0" b="0"/>
                  <wp:docPr id="11" name="Picture 7" descr="http://www.ausetute.com.au/../images/titpwbs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usetute.com.au/../images/titpwbs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 xml:space="preserve">Curve begins at low pH and ends at a less high basic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pH.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956FE1" w:rsidRPr="00FD15A6" w:rsidRDefault="00956FE1" w:rsidP="00E97638">
            <w:pPr>
              <w:bidi w:val="0"/>
              <w:spacing w:before="100" w:beforeAutospacing="1" w:after="100" w:afterAutospacing="1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The pH change at the equivalence point (pH &lt; 7) is similar to that for Strong Base and Weak Acid.</w:t>
            </w:r>
          </w:p>
        </w:tc>
      </w:tr>
      <w:tr w:rsidR="00956FE1" w:rsidRPr="00FD15A6" w:rsidTr="00E97638">
        <w:trPr>
          <w:trHeight w:val="223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2" w:space="0" w:color="FFFF42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Weak Acid and Weak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2" w:space="0" w:color="FFFF42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Ammonia (NH</w:t>
            </w:r>
            <w:r w:rsidRPr="00FD15A6">
              <w:rPr>
                <w:rFonts w:asciiTheme="majorBidi" w:eastAsia="Times New Roman" w:hAnsiTheme="majorBidi" w:cstheme="majorBidi"/>
                <w:vertAlign w:val="subscript"/>
              </w:rPr>
              <w:t>3</w:t>
            </w:r>
            <w:r w:rsidRPr="00FD15A6">
              <w:rPr>
                <w:rFonts w:asciiTheme="majorBidi" w:eastAsia="Times New Roman" w:hAnsiTheme="majorBidi" w:cstheme="majorBidi"/>
              </w:rPr>
              <w:t>) added to Acetic acid (CH</w:t>
            </w:r>
            <w:r w:rsidRPr="00FD15A6">
              <w:rPr>
                <w:rFonts w:asciiTheme="majorBidi" w:eastAsia="Times New Roman" w:hAnsiTheme="majorBidi" w:cstheme="majorBidi"/>
                <w:vertAlign w:val="subscript"/>
              </w:rPr>
              <w:t>3</w:t>
            </w:r>
            <w:r w:rsidRPr="00FD15A6">
              <w:rPr>
                <w:rFonts w:asciiTheme="majorBidi" w:eastAsia="Times New Roman" w:hAnsiTheme="majorBidi" w:cstheme="majorBidi"/>
              </w:rPr>
              <w:t>COOH)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2" w:space="0" w:color="FFFF42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  <w:noProof/>
              </w:rPr>
              <w:drawing>
                <wp:inline distT="0" distB="0" distL="0" distR="0">
                  <wp:extent cx="952500" cy="1428750"/>
                  <wp:effectExtent l="19050" t="0" r="0" b="0"/>
                  <wp:docPr id="12" name="Picture 8" descr="http://www.ausetute.com.au/../images/titphwa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usetute.com.au/../images/titphwa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12" w:space="0" w:color="FFFF42"/>
              <w:right w:val="outset" w:sz="6" w:space="0" w:color="auto"/>
            </w:tcBorders>
            <w:vAlign w:val="center"/>
            <w:hideMark/>
          </w:tcPr>
          <w:p w:rsidR="00956FE1" w:rsidRPr="00FD15A6" w:rsidRDefault="00956FE1" w:rsidP="00E97638">
            <w:pPr>
              <w:bidi w:val="0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 xml:space="preserve">Curve begins at higher acidic pH and ends at low basic </w:t>
            </w:r>
            <w:proofErr w:type="spellStart"/>
            <w:r w:rsidRPr="00FD15A6">
              <w:rPr>
                <w:rFonts w:asciiTheme="majorBidi" w:eastAsia="Times New Roman" w:hAnsiTheme="majorBidi" w:cstheme="majorBidi"/>
              </w:rPr>
              <w:t>pH.</w:t>
            </w:r>
            <w:proofErr w:type="spellEnd"/>
            <w:r w:rsidRPr="00FD15A6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956FE1" w:rsidRPr="00FD15A6" w:rsidRDefault="00956FE1" w:rsidP="00E97638">
            <w:pPr>
              <w:bidi w:val="0"/>
              <w:spacing w:before="100" w:beforeAutospacing="1" w:after="100" w:afterAutospacing="1"/>
              <w:rPr>
                <w:rFonts w:asciiTheme="majorBidi" w:eastAsia="Times New Roman" w:hAnsiTheme="majorBidi" w:cstheme="majorBidi"/>
              </w:rPr>
            </w:pPr>
            <w:r w:rsidRPr="00FD15A6">
              <w:rPr>
                <w:rFonts w:asciiTheme="majorBidi" w:eastAsia="Times New Roman" w:hAnsiTheme="majorBidi" w:cstheme="majorBidi"/>
              </w:rPr>
              <w:t>There is not a great pH change at the equivalence point (pH ~ 7) making this a very difficult titration to perform.</w:t>
            </w:r>
          </w:p>
        </w:tc>
      </w:tr>
    </w:tbl>
    <w:p w:rsidR="004520A3" w:rsidRPr="00FD15A6" w:rsidRDefault="004520A3" w:rsidP="00956FE1">
      <w:pPr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color w:val="000000" w:themeColor="text1"/>
        </w:rPr>
      </w:pPr>
    </w:p>
    <w:p w:rsidR="00D15B5A" w:rsidRPr="009F5C72" w:rsidRDefault="00D15B5A" w:rsidP="00DE1056">
      <w:pPr>
        <w:rPr>
          <w:rFonts w:asciiTheme="majorBidi" w:hAnsiTheme="majorBidi" w:cstheme="majorBidi"/>
          <w:b/>
          <w:bCs/>
          <w:color w:val="000000"/>
          <w:rtl/>
        </w:rPr>
      </w:pPr>
    </w:p>
    <w:p w:rsidR="00D15B5A" w:rsidRPr="00FD15A6" w:rsidRDefault="00D15B5A" w:rsidP="00DE1056">
      <w:pPr>
        <w:pStyle w:val="ListParagraph"/>
        <w:rPr>
          <w:rFonts w:asciiTheme="majorBidi" w:hAnsiTheme="majorBidi" w:cstheme="majorBidi"/>
          <w:b/>
          <w:bCs/>
          <w:color w:val="000000"/>
          <w:rtl/>
        </w:rPr>
      </w:pPr>
    </w:p>
    <w:p w:rsidR="004520A3" w:rsidRPr="00FD15A6" w:rsidRDefault="004520A3" w:rsidP="00DE1056">
      <w:pPr>
        <w:pStyle w:val="ListParagraph"/>
        <w:rPr>
          <w:rFonts w:asciiTheme="majorBidi" w:hAnsiTheme="majorBidi" w:cstheme="majorBidi"/>
          <w:b/>
          <w:bCs/>
          <w:color w:val="000000"/>
          <w:rtl/>
        </w:rPr>
      </w:pPr>
    </w:p>
    <w:p w:rsidR="00D42107" w:rsidRPr="009F5C72" w:rsidRDefault="00D42107" w:rsidP="009F5C72">
      <w:pPr>
        <w:pStyle w:val="ListParagraph"/>
        <w:bidi w:val="0"/>
        <w:spacing w:before="100" w:beforeAutospacing="1" w:after="100" w:afterAutospacing="1"/>
        <w:jc w:val="center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Volumetric </w:t>
      </w:r>
      <w:r w:rsidR="00B4502C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a</w:t>
      </w:r>
      <w:r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nalysis</w:t>
      </w:r>
      <w:r w:rsidRPr="009F5C7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4502C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t</w:t>
      </w:r>
      <w:r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o prepare </w:t>
      </w:r>
      <w:r w:rsidR="005C6F64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and standardize</w:t>
      </w:r>
      <w:r w:rsidR="00B4502C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5C6F64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Hydrochloric</w:t>
      </w:r>
      <w:r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</w:t>
      </w:r>
      <w:r w:rsidR="00B4502C"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A</w:t>
      </w:r>
      <w:r w:rsidRPr="009F5C72">
        <w:rPr>
          <w:rFonts w:asciiTheme="majorBidi" w:hAnsiTheme="majorBidi" w:cstheme="majorBidi"/>
          <w:b/>
          <w:bCs/>
          <w:color w:val="000000"/>
          <w:sz w:val="28"/>
          <w:szCs w:val="28"/>
        </w:rPr>
        <w:t>cid</w:t>
      </w:r>
    </w:p>
    <w:p w:rsidR="00D42107" w:rsidRPr="00CE1A84" w:rsidRDefault="00B0235E" w:rsidP="00B0235E">
      <w:pPr>
        <w:ind w:left="6120"/>
        <w:jc w:val="right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>*</w:t>
      </w:r>
      <w:r w:rsidR="00D42107" w:rsidRPr="00CE1A84">
        <w:rPr>
          <w:rFonts w:asciiTheme="majorBidi" w:hAnsiTheme="majorBidi" w:cstheme="majorBidi"/>
          <w:color w:val="000000"/>
        </w:rPr>
        <w:t xml:space="preserve">prepare 0.1 M </w:t>
      </w:r>
      <w:proofErr w:type="spellStart"/>
      <w:r w:rsidR="00D42107" w:rsidRPr="00CE1A84">
        <w:rPr>
          <w:rFonts w:asciiTheme="majorBidi" w:hAnsiTheme="majorBidi" w:cstheme="majorBidi"/>
          <w:color w:val="000000"/>
        </w:rPr>
        <w:t>HCl</w:t>
      </w:r>
      <w:proofErr w:type="spellEnd"/>
      <w:r w:rsidR="004520A3" w:rsidRPr="00CE1A84">
        <w:rPr>
          <w:rFonts w:asciiTheme="majorBidi" w:hAnsiTheme="majorBidi" w:cstheme="majorBidi"/>
          <w:color w:val="000000"/>
        </w:rPr>
        <w:t>.</w:t>
      </w:r>
    </w:p>
    <w:p w:rsidR="00D42107" w:rsidRPr="00CE1A84" w:rsidRDefault="00D42107" w:rsidP="00B0235E">
      <w:pPr>
        <w:jc w:val="right"/>
        <w:rPr>
          <w:rFonts w:asciiTheme="majorBidi" w:hAnsiTheme="majorBidi" w:cstheme="majorBidi"/>
          <w:color w:val="000000"/>
          <w:rtl/>
        </w:rPr>
      </w:pPr>
    </w:p>
    <w:p w:rsidR="00D42107" w:rsidRPr="00CE1A84" w:rsidRDefault="00B0235E" w:rsidP="00B0235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>*</w:t>
      </w:r>
      <w:r w:rsidR="00D42107" w:rsidRPr="00CE1A84">
        <w:rPr>
          <w:rFonts w:asciiTheme="majorBidi" w:hAnsiTheme="majorBidi" w:cstheme="majorBidi"/>
          <w:color w:val="000000"/>
        </w:rPr>
        <w:t xml:space="preserve">The reaction between sodium carbonate and hydrochloric acid takes place in two stages: </w:t>
      </w:r>
    </w:p>
    <w:p w:rsidR="00924BAF" w:rsidRPr="00CE1A84" w:rsidRDefault="005C6F64" w:rsidP="00D42107">
      <w:pPr>
        <w:autoSpaceDE w:val="0"/>
        <w:autoSpaceDN w:val="0"/>
        <w:bidi w:val="0"/>
        <w:adjustRightInd w:val="0"/>
        <w:ind w:left="540" w:hanging="540"/>
        <w:jc w:val="center"/>
        <w:rPr>
          <w:rFonts w:asciiTheme="majorBidi" w:hAnsiTheme="majorBidi" w:cstheme="majorBidi"/>
          <w:b/>
          <w:bCs/>
          <w:color w:val="000000"/>
        </w:rPr>
      </w:pPr>
      <w:r w:rsidRPr="00CE1A84">
        <w:rPr>
          <w:rFonts w:asciiTheme="majorBidi" w:hAnsiTheme="majorBidi" w:cstheme="majorBidi"/>
          <w:b/>
          <w:bCs/>
          <w:color w:val="000000"/>
        </w:rPr>
        <w:t>Na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2</w:t>
      </w:r>
      <w:r w:rsidRPr="00CE1A84">
        <w:rPr>
          <w:rFonts w:asciiTheme="majorBidi" w:hAnsiTheme="majorBidi" w:cstheme="majorBidi"/>
          <w:b/>
          <w:bCs/>
          <w:color w:val="000000"/>
        </w:rPr>
        <w:t>CO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3</w:t>
      </w:r>
      <w:r w:rsidRPr="00CE1A84">
        <w:rPr>
          <w:rFonts w:asciiTheme="majorBidi" w:hAnsiTheme="majorBidi" w:cstheme="majorBidi"/>
          <w:b/>
          <w:bCs/>
          <w:color w:val="000000"/>
        </w:rPr>
        <w:t xml:space="preserve"> (aq) + HCl (aq) → NaHCO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3</w:t>
      </w:r>
      <w:r w:rsidRPr="00CE1A84">
        <w:rPr>
          <w:rFonts w:asciiTheme="majorBidi" w:hAnsiTheme="majorBidi" w:cstheme="majorBidi"/>
          <w:b/>
          <w:bCs/>
          <w:color w:val="000000"/>
        </w:rPr>
        <w:t xml:space="preserve"> (aq) + NaCl (aq) (1)</w:t>
      </w:r>
    </w:p>
    <w:p w:rsidR="00D42107" w:rsidRPr="00CE1A84" w:rsidRDefault="00D42107" w:rsidP="00924BAF">
      <w:pPr>
        <w:autoSpaceDE w:val="0"/>
        <w:autoSpaceDN w:val="0"/>
        <w:bidi w:val="0"/>
        <w:adjustRightInd w:val="0"/>
        <w:ind w:left="540" w:hanging="540"/>
        <w:jc w:val="center"/>
        <w:rPr>
          <w:rFonts w:asciiTheme="majorBidi" w:hAnsiTheme="majorBidi" w:cstheme="majorBidi"/>
          <w:b/>
          <w:bCs/>
          <w:color w:val="000000"/>
        </w:rPr>
      </w:pPr>
      <w:r w:rsidRPr="00CE1A84">
        <w:rPr>
          <w:rFonts w:asciiTheme="majorBidi" w:hAnsiTheme="majorBidi" w:cstheme="majorBidi"/>
          <w:b/>
          <w:bCs/>
          <w:color w:val="000000"/>
        </w:rPr>
        <w:t xml:space="preserve"> </w:t>
      </w:r>
    </w:p>
    <w:p w:rsidR="00D42107" w:rsidRPr="00CE1A84" w:rsidRDefault="005C6F64" w:rsidP="00D42107">
      <w:pPr>
        <w:autoSpaceDE w:val="0"/>
        <w:autoSpaceDN w:val="0"/>
        <w:bidi w:val="0"/>
        <w:adjustRightInd w:val="0"/>
        <w:ind w:left="540" w:hanging="540"/>
        <w:jc w:val="center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b/>
          <w:bCs/>
          <w:color w:val="000000"/>
        </w:rPr>
        <w:t>NaHCO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3</w:t>
      </w:r>
      <w:r w:rsidRPr="00CE1A84">
        <w:rPr>
          <w:rFonts w:asciiTheme="majorBidi" w:hAnsiTheme="majorBidi" w:cstheme="majorBidi"/>
          <w:b/>
          <w:bCs/>
          <w:color w:val="000000"/>
        </w:rPr>
        <w:t xml:space="preserve"> (</w:t>
      </w:r>
      <w:r w:rsidR="00D42107" w:rsidRPr="00CE1A84">
        <w:rPr>
          <w:rFonts w:asciiTheme="majorBidi" w:hAnsiTheme="majorBidi" w:cstheme="majorBidi"/>
          <w:b/>
          <w:bCs/>
          <w:color w:val="000000"/>
        </w:rPr>
        <w:t xml:space="preserve">aq) + </w:t>
      </w:r>
      <w:r w:rsidRPr="00CE1A84">
        <w:rPr>
          <w:rFonts w:asciiTheme="majorBidi" w:hAnsiTheme="majorBidi" w:cstheme="majorBidi"/>
          <w:b/>
          <w:bCs/>
          <w:color w:val="000000"/>
        </w:rPr>
        <w:t>HCl (</w:t>
      </w:r>
      <w:r w:rsidR="00D42107" w:rsidRPr="00CE1A84">
        <w:rPr>
          <w:rFonts w:asciiTheme="majorBidi" w:hAnsiTheme="majorBidi" w:cstheme="majorBidi"/>
          <w:b/>
          <w:bCs/>
          <w:color w:val="000000"/>
        </w:rPr>
        <w:t xml:space="preserve">aq) → </w:t>
      </w:r>
      <w:r w:rsidRPr="00CE1A84">
        <w:rPr>
          <w:rFonts w:asciiTheme="majorBidi" w:hAnsiTheme="majorBidi" w:cstheme="majorBidi"/>
          <w:b/>
          <w:bCs/>
          <w:color w:val="000000"/>
        </w:rPr>
        <w:t>NaCl (</w:t>
      </w:r>
      <w:r w:rsidR="00D42107" w:rsidRPr="00CE1A84">
        <w:rPr>
          <w:rFonts w:asciiTheme="majorBidi" w:hAnsiTheme="majorBidi" w:cstheme="majorBidi"/>
          <w:b/>
          <w:bCs/>
          <w:color w:val="000000"/>
        </w:rPr>
        <w:t xml:space="preserve">aq) + </w:t>
      </w:r>
      <w:r w:rsidRPr="00CE1A84">
        <w:rPr>
          <w:rFonts w:asciiTheme="majorBidi" w:hAnsiTheme="majorBidi" w:cstheme="majorBidi"/>
          <w:b/>
          <w:bCs/>
          <w:color w:val="000000"/>
        </w:rPr>
        <w:t>CO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2</w:t>
      </w:r>
      <w:r w:rsidRPr="00CE1A84">
        <w:rPr>
          <w:rFonts w:asciiTheme="majorBidi" w:hAnsiTheme="majorBidi" w:cstheme="majorBidi"/>
          <w:b/>
          <w:bCs/>
          <w:color w:val="000000"/>
        </w:rPr>
        <w:t xml:space="preserve"> (</w:t>
      </w:r>
      <w:r w:rsidR="00D42107" w:rsidRPr="00CE1A84">
        <w:rPr>
          <w:rFonts w:asciiTheme="majorBidi" w:hAnsiTheme="majorBidi" w:cstheme="majorBidi"/>
          <w:b/>
          <w:bCs/>
          <w:color w:val="000000"/>
        </w:rPr>
        <w:t xml:space="preserve">g) + </w:t>
      </w:r>
      <w:r w:rsidRPr="00CE1A84">
        <w:rPr>
          <w:rFonts w:asciiTheme="majorBidi" w:hAnsiTheme="majorBidi" w:cstheme="majorBidi"/>
          <w:b/>
          <w:bCs/>
          <w:color w:val="000000"/>
        </w:rPr>
        <w:t>H</w:t>
      </w:r>
      <w:r w:rsidRPr="00CE1A84">
        <w:rPr>
          <w:rFonts w:asciiTheme="majorBidi" w:hAnsiTheme="majorBidi" w:cstheme="majorBidi"/>
          <w:b/>
          <w:bCs/>
          <w:color w:val="000000"/>
          <w:vertAlign w:val="subscript"/>
        </w:rPr>
        <w:t>2</w:t>
      </w:r>
      <w:r w:rsidRPr="00CE1A84">
        <w:rPr>
          <w:rFonts w:asciiTheme="majorBidi" w:hAnsiTheme="majorBidi" w:cstheme="majorBidi"/>
          <w:b/>
          <w:bCs/>
          <w:color w:val="000000"/>
        </w:rPr>
        <w:t>O (</w:t>
      </w:r>
      <w:r w:rsidR="00D42107" w:rsidRPr="00CE1A84">
        <w:rPr>
          <w:rFonts w:asciiTheme="majorBidi" w:hAnsiTheme="majorBidi" w:cstheme="majorBidi"/>
          <w:b/>
          <w:bCs/>
          <w:color w:val="000000"/>
        </w:rPr>
        <w:t>l) (2</w:t>
      </w:r>
      <w:r w:rsidR="00D42107" w:rsidRPr="00CE1A84">
        <w:rPr>
          <w:rFonts w:asciiTheme="majorBidi" w:hAnsiTheme="majorBidi" w:cstheme="majorBidi"/>
          <w:color w:val="000000"/>
        </w:rPr>
        <w:t xml:space="preserve">) </w:t>
      </w:r>
    </w:p>
    <w:p w:rsidR="00D42107" w:rsidRPr="00CE1A84" w:rsidRDefault="00D42107" w:rsidP="00D42107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Two indicators are needed to cover both stages: </w:t>
      </w:r>
    </w:p>
    <w:p w:rsidR="00D42107" w:rsidRPr="00CE1A84" w:rsidRDefault="00D42107" w:rsidP="00D42107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• </w:t>
      </w:r>
      <w:r w:rsidR="005C6F64" w:rsidRPr="00CE1A84">
        <w:rPr>
          <w:rFonts w:asciiTheme="majorBidi" w:hAnsiTheme="majorBidi" w:cstheme="majorBidi"/>
          <w:color w:val="000000"/>
        </w:rPr>
        <w:t>In</w:t>
      </w:r>
      <w:r w:rsidRPr="00CE1A84">
        <w:rPr>
          <w:rFonts w:asciiTheme="majorBidi" w:hAnsiTheme="majorBidi" w:cstheme="majorBidi"/>
          <w:color w:val="000000"/>
        </w:rPr>
        <w:t xml:space="preserve"> stage 1, phenolphthalein is most suitable, and will respond to the pH change associated with the formation of sodium </w:t>
      </w:r>
      <w:r w:rsidR="005C6F64" w:rsidRPr="00CE1A84">
        <w:rPr>
          <w:rFonts w:asciiTheme="majorBidi" w:hAnsiTheme="majorBidi" w:cstheme="majorBidi"/>
          <w:color w:val="000000"/>
        </w:rPr>
        <w:t>hydrogen carbonate</w:t>
      </w:r>
      <w:r w:rsidRPr="00CE1A84">
        <w:rPr>
          <w:rFonts w:asciiTheme="majorBidi" w:hAnsiTheme="majorBidi" w:cstheme="majorBidi"/>
          <w:color w:val="000000"/>
        </w:rPr>
        <w:t>, NaHCO</w:t>
      </w:r>
      <w:r w:rsidRPr="00CE1A84">
        <w:rPr>
          <w:rFonts w:asciiTheme="majorBidi" w:hAnsiTheme="majorBidi" w:cstheme="majorBidi"/>
          <w:color w:val="000000"/>
          <w:vertAlign w:val="subscript"/>
        </w:rPr>
        <w:t>3</w:t>
      </w:r>
      <w:r w:rsidRPr="00CE1A84">
        <w:rPr>
          <w:rFonts w:asciiTheme="majorBidi" w:hAnsiTheme="majorBidi" w:cstheme="majorBidi"/>
          <w:color w:val="000000"/>
        </w:rPr>
        <w:t xml:space="preserve">. </w:t>
      </w:r>
    </w:p>
    <w:p w:rsidR="00D42107" w:rsidRPr="00CE1A84" w:rsidRDefault="00D42107" w:rsidP="00D42107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• </w:t>
      </w:r>
      <w:r w:rsidR="005C6F64" w:rsidRPr="00CE1A84">
        <w:rPr>
          <w:rFonts w:asciiTheme="majorBidi" w:hAnsiTheme="majorBidi" w:cstheme="majorBidi"/>
          <w:color w:val="000000"/>
        </w:rPr>
        <w:t>In</w:t>
      </w:r>
      <w:r w:rsidRPr="00CE1A84">
        <w:rPr>
          <w:rFonts w:asciiTheme="majorBidi" w:hAnsiTheme="majorBidi" w:cstheme="majorBidi"/>
          <w:color w:val="000000"/>
        </w:rPr>
        <w:t xml:space="preserve"> stage 2, methyl orange is most suitable, and will respond to the pH change associated with the final formation of sodium chloride, NaCl. </w:t>
      </w:r>
    </w:p>
    <w:p w:rsidR="00B0235E" w:rsidRPr="00CE1A84" w:rsidRDefault="00B0235E" w:rsidP="00D42107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B0235E" w:rsidRPr="00CE1A84" w:rsidRDefault="00B0235E" w:rsidP="00B0235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B0235E" w:rsidRPr="00CE1A84" w:rsidRDefault="00B0235E" w:rsidP="00B0235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D42107" w:rsidRPr="00CE1A84" w:rsidRDefault="004520A3" w:rsidP="00B0235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proofErr w:type="spellStart"/>
      <w:r w:rsidRPr="00CE1A84">
        <w:rPr>
          <w:rFonts w:asciiTheme="majorBidi" w:hAnsiTheme="majorBidi" w:cstheme="majorBidi"/>
          <w:b/>
          <w:bCs/>
          <w:color w:val="000000"/>
        </w:rPr>
        <w:lastRenderedPageBreak/>
        <w:t>Procrdure</w:t>
      </w:r>
      <w:proofErr w:type="spellEnd"/>
      <w:r w:rsidRPr="00CE1A84">
        <w:rPr>
          <w:rFonts w:asciiTheme="majorBidi" w:hAnsiTheme="majorBidi" w:cstheme="majorBidi"/>
          <w:b/>
          <w:bCs/>
          <w:color w:val="000000"/>
        </w:rPr>
        <w:t>:</w:t>
      </w:r>
    </w:p>
    <w:p w:rsidR="004520A3" w:rsidRPr="00CE1A84" w:rsidRDefault="004520A3" w:rsidP="004520A3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</w:p>
    <w:p w:rsidR="009F5C72" w:rsidRPr="00CE1A84" w:rsidRDefault="00D42107" w:rsidP="009F5C72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Transfer a </w:t>
      </w:r>
      <w:r w:rsidR="005C6F64" w:rsidRPr="00CE1A84">
        <w:rPr>
          <w:rFonts w:asciiTheme="majorBidi" w:hAnsiTheme="majorBidi" w:cstheme="majorBidi"/>
          <w:color w:val="000000"/>
        </w:rPr>
        <w:t>10</w:t>
      </w:r>
      <w:r w:rsidR="004520A3" w:rsidRPr="00CE1A84">
        <w:rPr>
          <w:rFonts w:asciiTheme="majorBidi" w:hAnsiTheme="majorBidi" w:cstheme="majorBidi"/>
          <w:color w:val="000000"/>
        </w:rPr>
        <w:t xml:space="preserve"> </w:t>
      </w:r>
      <w:r w:rsidR="005C6F64" w:rsidRPr="00CE1A84">
        <w:rPr>
          <w:rFonts w:asciiTheme="majorBidi" w:hAnsiTheme="majorBidi" w:cstheme="majorBidi"/>
          <w:color w:val="000000"/>
        </w:rPr>
        <w:t>ml aliquot</w:t>
      </w:r>
      <w:r w:rsidRPr="00CE1A84">
        <w:rPr>
          <w:rFonts w:asciiTheme="majorBidi" w:hAnsiTheme="majorBidi" w:cstheme="majorBidi"/>
          <w:color w:val="000000"/>
        </w:rPr>
        <w:t xml:space="preserve"> (portion) of sodium carbonate solution to a 250</w:t>
      </w:r>
      <w:r w:rsidR="009F5C72" w:rsidRPr="00CE1A84">
        <w:rPr>
          <w:rFonts w:asciiTheme="majorBidi" w:hAnsiTheme="majorBidi" w:cstheme="majorBidi"/>
          <w:color w:val="000000"/>
        </w:rPr>
        <w:t xml:space="preserve"> </w:t>
      </w:r>
      <w:r w:rsidRPr="00CE1A84">
        <w:rPr>
          <w:rFonts w:asciiTheme="majorBidi" w:hAnsiTheme="majorBidi" w:cstheme="majorBidi"/>
          <w:color w:val="000000"/>
        </w:rPr>
        <w:t>cm</w:t>
      </w:r>
      <w:r w:rsidRPr="00CE1A84">
        <w:rPr>
          <w:rFonts w:asciiTheme="majorBidi" w:hAnsiTheme="majorBidi" w:cstheme="majorBidi"/>
          <w:color w:val="000000"/>
          <w:vertAlign w:val="superscript"/>
        </w:rPr>
        <w:t xml:space="preserve">3 </w:t>
      </w:r>
      <w:r w:rsidRPr="00CE1A84">
        <w:rPr>
          <w:rFonts w:asciiTheme="majorBidi" w:hAnsiTheme="majorBidi" w:cstheme="majorBidi"/>
          <w:color w:val="000000"/>
        </w:rPr>
        <w:t>capacity conical flask. Add a few drops of phenolphthalein indicator solution.</w:t>
      </w:r>
    </w:p>
    <w:p w:rsidR="00D42107" w:rsidRPr="00CE1A84" w:rsidRDefault="00D42107" w:rsidP="009F5C72">
      <w:pPr>
        <w:pStyle w:val="ListParagraph"/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 </w:t>
      </w:r>
    </w:p>
    <w:p w:rsidR="00D42107" w:rsidRPr="00CE1A84" w:rsidRDefault="009F5C72" w:rsidP="00D42107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color w:val="000000"/>
        </w:rPr>
        <w:t xml:space="preserve">     </w:t>
      </w:r>
      <w:r w:rsidR="00D42107" w:rsidRPr="00CE1A84">
        <w:rPr>
          <w:rFonts w:asciiTheme="majorBidi" w:hAnsiTheme="majorBidi" w:cstheme="majorBidi"/>
          <w:color w:val="000000"/>
        </w:rPr>
        <w:t xml:space="preserve">2. Titrate with the hydrochloric acid. The end-point of the titration is when the solution just changes from pink to </w:t>
      </w:r>
      <w:r w:rsidR="005C6F64" w:rsidRPr="00CE1A84">
        <w:rPr>
          <w:rFonts w:asciiTheme="majorBidi" w:hAnsiTheme="majorBidi" w:cstheme="majorBidi"/>
          <w:color w:val="000000"/>
        </w:rPr>
        <w:t>colorless</w:t>
      </w:r>
      <w:r w:rsidR="00D42107" w:rsidRPr="00CE1A84">
        <w:rPr>
          <w:rFonts w:asciiTheme="majorBidi" w:hAnsiTheme="majorBidi" w:cstheme="majorBidi"/>
          <w:color w:val="000000"/>
        </w:rPr>
        <w:t>. Equation (1)</w:t>
      </w:r>
    </w:p>
    <w:p w:rsidR="00D42107" w:rsidRPr="00CE1A84" w:rsidRDefault="00D42107" w:rsidP="00D42107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  <w:r w:rsidRPr="00CE1A84">
        <w:rPr>
          <w:rFonts w:asciiTheme="majorBidi" w:hAnsiTheme="majorBidi" w:cstheme="majorBidi"/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7430" cy="1857375"/>
            <wp:effectExtent l="19050" t="0" r="7620" b="0"/>
            <wp:wrapSquare wrapText="bothSides"/>
            <wp:docPr id="23" name="Picture 3" descr="Indicator-Phynolphthalein- basicchemistrylab.blogspot by basicchemistryla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dicator-Phynolphthalein- basicchemistrylab.blogspot by basicchemistrylab.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3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5C72" w:rsidRPr="00CE1A84" w:rsidRDefault="009F5C72" w:rsidP="00D42107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Pr="00CE1A84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Pr="00CE1A84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Pr="00CE1A84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9F5C72" w:rsidRDefault="009F5C72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  <w:color w:val="000000"/>
        </w:rPr>
      </w:pPr>
    </w:p>
    <w:p w:rsidR="00FE33DA" w:rsidRPr="00FD15A6" w:rsidRDefault="00D42107" w:rsidP="009F5C72">
      <w:pPr>
        <w:autoSpaceDE w:val="0"/>
        <w:autoSpaceDN w:val="0"/>
        <w:bidi w:val="0"/>
        <w:adjustRightInd w:val="0"/>
        <w:ind w:left="360" w:hanging="360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  <w:color w:val="000000"/>
        </w:rPr>
        <w:br w:type="textWrapping" w:clear="all"/>
        <w:t>3-repate the process by methyl orange indicator solution,</w:t>
      </w:r>
      <w:r w:rsidRPr="00FD15A6">
        <w:rPr>
          <w:rFonts w:asciiTheme="majorBidi" w:hAnsiTheme="majorBidi" w:cstheme="majorBidi"/>
        </w:rPr>
        <w:t xml:space="preserve"> </w:t>
      </w:r>
      <w:r w:rsidR="005C6F64" w:rsidRPr="00FD15A6">
        <w:rPr>
          <w:rFonts w:asciiTheme="majorBidi" w:hAnsiTheme="majorBidi" w:cstheme="majorBidi"/>
        </w:rPr>
        <w:t>the</w:t>
      </w:r>
      <w:r w:rsidRPr="00FD15A6">
        <w:rPr>
          <w:rFonts w:asciiTheme="majorBidi" w:hAnsiTheme="majorBidi" w:cstheme="majorBidi"/>
        </w:rPr>
        <w:t xml:space="preserve"> end-point of the titration is when the solution just changes from yellow to</w:t>
      </w:r>
      <w:r w:rsidR="00FE33DA" w:rsidRPr="00FD15A6">
        <w:rPr>
          <w:rFonts w:asciiTheme="majorBidi" w:hAnsiTheme="majorBidi" w:cstheme="majorBidi"/>
        </w:rPr>
        <w:t xml:space="preserve"> orange </w:t>
      </w:r>
      <w:r w:rsidR="005C6F64" w:rsidRPr="00FD15A6">
        <w:rPr>
          <w:rFonts w:asciiTheme="majorBidi" w:hAnsiTheme="majorBidi" w:cstheme="majorBidi"/>
        </w:rPr>
        <w:t>equation (</w:t>
      </w:r>
      <w:r w:rsidR="00FE33DA" w:rsidRPr="00FD15A6">
        <w:rPr>
          <w:rFonts w:asciiTheme="majorBidi" w:hAnsiTheme="majorBidi" w:cstheme="majorBidi"/>
        </w:rPr>
        <w:t xml:space="preserve">2) </w:t>
      </w:r>
    </w:p>
    <w:p w:rsidR="00D42107" w:rsidRPr="00FD15A6" w:rsidRDefault="00D42107" w:rsidP="00DE1056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FD15A6">
        <w:rPr>
          <w:rFonts w:asciiTheme="majorBidi" w:hAnsiTheme="majorBidi" w:cstheme="majorBidi"/>
          <w:noProof/>
        </w:rPr>
        <w:drawing>
          <wp:inline distT="0" distB="0" distL="0" distR="0">
            <wp:extent cx="2202180" cy="1626500"/>
            <wp:effectExtent l="304800" t="266700" r="274320" b="221350"/>
            <wp:docPr id="26" name="Picture 18" descr="http://www.titrations.info/img/methyl-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titrations.info/img/methyl-orange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792" cy="1626952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6F3D8E" w:rsidRPr="00FD15A6" w:rsidRDefault="00FE33DA" w:rsidP="006F3D8E">
      <w:pPr>
        <w:pStyle w:val="Defaul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</w:rPr>
        <w:t xml:space="preserve"> </w:t>
      </w:r>
      <w:r w:rsidR="005C6F64" w:rsidRPr="00FD15A6">
        <w:rPr>
          <w:rFonts w:asciiTheme="majorBidi" w:hAnsiTheme="majorBidi" w:cstheme="majorBidi"/>
        </w:rPr>
        <w:t>4- Repeat</w:t>
      </w:r>
      <w:r w:rsidRPr="00FD15A6">
        <w:rPr>
          <w:rFonts w:asciiTheme="majorBidi" w:hAnsiTheme="majorBidi" w:cstheme="majorBidi"/>
        </w:rPr>
        <w:t xml:space="preserve"> steps 1 - 3 until concordance (i.e. until the readings are the same or within 0.</w:t>
      </w:r>
      <w:r w:rsidR="006F3D8E" w:rsidRPr="00FD15A6">
        <w:rPr>
          <w:rFonts w:asciiTheme="majorBidi" w:hAnsiTheme="majorBidi" w:cstheme="majorBidi"/>
        </w:rPr>
        <w:t>2</w:t>
      </w:r>
      <w:r w:rsidRPr="00FD15A6">
        <w:rPr>
          <w:rFonts w:asciiTheme="majorBidi" w:hAnsiTheme="majorBidi" w:cstheme="majorBidi"/>
        </w:rPr>
        <w:t>cm</w:t>
      </w:r>
      <w:r w:rsidRPr="00FD15A6">
        <w:rPr>
          <w:rFonts w:asciiTheme="majorBidi" w:hAnsiTheme="majorBidi" w:cstheme="majorBidi"/>
          <w:vertAlign w:val="superscript"/>
        </w:rPr>
        <w:t>3</w:t>
      </w:r>
      <w:r w:rsidRPr="00FD15A6">
        <w:rPr>
          <w:rFonts w:asciiTheme="majorBidi" w:hAnsiTheme="majorBidi" w:cstheme="majorBidi"/>
        </w:rPr>
        <w:t>).</w:t>
      </w:r>
    </w:p>
    <w:p w:rsidR="006F3D8E" w:rsidRPr="00FD15A6" w:rsidRDefault="006F3D8E" w:rsidP="006F3D8E">
      <w:pPr>
        <w:pStyle w:val="Defaul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</w:rPr>
        <w:t xml:space="preserve"> </w:t>
      </w:r>
    </w:p>
    <w:p w:rsidR="00D42107" w:rsidRDefault="006F3D8E" w:rsidP="006F3D8E">
      <w:pPr>
        <w:jc w:val="right"/>
        <w:rPr>
          <w:rFonts w:asciiTheme="majorBidi" w:hAnsiTheme="majorBidi" w:cstheme="majorBidi"/>
          <w:color w:val="000000"/>
        </w:rPr>
      </w:pPr>
      <w:r w:rsidRPr="00FD15A6">
        <w:rPr>
          <w:rFonts w:asciiTheme="majorBidi" w:hAnsiTheme="majorBidi" w:cstheme="majorBidi"/>
        </w:rPr>
        <w:t xml:space="preserve"> </w:t>
      </w:r>
      <w:proofErr w:type="gramStart"/>
      <w:r w:rsidRPr="00FD15A6">
        <w:rPr>
          <w:rFonts w:asciiTheme="majorBidi" w:hAnsiTheme="majorBidi" w:cstheme="majorBidi"/>
          <w:color w:val="000000"/>
        </w:rPr>
        <w:t xml:space="preserve">5-Tabulate </w:t>
      </w:r>
      <w:r w:rsidR="005C6F64" w:rsidRPr="00FD15A6">
        <w:rPr>
          <w:rFonts w:asciiTheme="majorBidi" w:hAnsiTheme="majorBidi" w:cstheme="majorBidi"/>
          <w:color w:val="000000"/>
        </w:rPr>
        <w:t>your titration results</w:t>
      </w:r>
      <w:r w:rsidRPr="00FD15A6">
        <w:rPr>
          <w:rFonts w:asciiTheme="majorBidi" w:hAnsiTheme="majorBidi" w:cstheme="majorBidi"/>
          <w:color w:val="000000"/>
        </w:rPr>
        <w:t>.</w:t>
      </w:r>
      <w:proofErr w:type="gramEnd"/>
    </w:p>
    <w:p w:rsidR="009F5C72" w:rsidRPr="00FD15A6" w:rsidRDefault="009F5C72" w:rsidP="006F3D8E">
      <w:pPr>
        <w:jc w:val="right"/>
        <w:rPr>
          <w:rFonts w:asciiTheme="majorBidi" w:hAnsiTheme="majorBidi" w:cstheme="majorBidi"/>
          <w:color w:val="000000"/>
        </w:rPr>
      </w:pPr>
    </w:p>
    <w:p w:rsidR="006446B9" w:rsidRPr="00FD15A6" w:rsidRDefault="006F3D8E" w:rsidP="006F3D8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FD15A6">
        <w:rPr>
          <w:rFonts w:asciiTheme="majorBidi" w:hAnsiTheme="majorBidi" w:cstheme="majorBidi"/>
          <w:color w:val="000000"/>
        </w:rPr>
        <w:t>Results</w:t>
      </w:r>
      <w:r w:rsidR="006446B9" w:rsidRPr="00FD15A6">
        <w:rPr>
          <w:rFonts w:asciiTheme="majorBidi" w:hAnsiTheme="majorBidi" w:cstheme="majorBidi"/>
          <w:color w:val="000000"/>
        </w:rPr>
        <w:t>:</w:t>
      </w:r>
    </w:p>
    <w:p w:rsidR="00DE1056" w:rsidRPr="00FD15A6" w:rsidRDefault="00DE1056" w:rsidP="00DE1056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6446B9" w:rsidRPr="00FD15A6" w:rsidTr="006446B9">
        <w:tc>
          <w:tcPr>
            <w:tcW w:w="4261" w:type="dxa"/>
          </w:tcPr>
          <w:p w:rsidR="006446B9" w:rsidRPr="00FD15A6" w:rsidRDefault="006446B9" w:rsidP="006446B9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Burette reagent </w:t>
            </w:r>
          </w:p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</w:tcPr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446B9" w:rsidRPr="00FD15A6" w:rsidTr="006446B9">
        <w:tc>
          <w:tcPr>
            <w:tcW w:w="4261" w:type="dxa"/>
          </w:tcPr>
          <w:p w:rsidR="006446B9" w:rsidRPr="00FD15A6" w:rsidRDefault="006446B9" w:rsidP="006446B9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Conical flask reagent </w:t>
            </w:r>
          </w:p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</w:tcPr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6446B9" w:rsidRPr="00FD15A6" w:rsidTr="006446B9">
        <w:tc>
          <w:tcPr>
            <w:tcW w:w="4261" w:type="dxa"/>
          </w:tcPr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Indicator </w:t>
            </w:r>
          </w:p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</w:tcPr>
          <w:p w:rsidR="006446B9" w:rsidRPr="00FD15A6" w:rsidRDefault="006446B9" w:rsidP="006446B9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:rsidR="002A1C29" w:rsidRPr="00FD15A6" w:rsidRDefault="002A1C29" w:rsidP="002A1C29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6446B9" w:rsidRPr="00FD15A6" w:rsidTr="006446B9">
        <w:tc>
          <w:tcPr>
            <w:tcW w:w="2130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Mean volumes</w:t>
            </w:r>
          </w:p>
        </w:tc>
        <w:tc>
          <w:tcPr>
            <w:tcW w:w="2130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Volume 3</w:t>
            </w:r>
          </w:p>
        </w:tc>
        <w:tc>
          <w:tcPr>
            <w:tcW w:w="2131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Volume 2</w:t>
            </w:r>
          </w:p>
        </w:tc>
        <w:tc>
          <w:tcPr>
            <w:tcW w:w="2131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D1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Volume 1</w:t>
            </w:r>
          </w:p>
        </w:tc>
      </w:tr>
      <w:tr w:rsidR="006446B9" w:rsidRPr="00FD15A6" w:rsidTr="006446B9">
        <w:tc>
          <w:tcPr>
            <w:tcW w:w="2130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6446B9" w:rsidRPr="00FD15A6" w:rsidRDefault="006446B9" w:rsidP="006F3D8E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</w:tr>
    </w:tbl>
    <w:p w:rsidR="002A1C29" w:rsidRPr="00FD15A6" w:rsidRDefault="002A1C29" w:rsidP="006F3D8E">
      <w:pPr>
        <w:jc w:val="right"/>
        <w:rPr>
          <w:rFonts w:asciiTheme="majorBidi" w:hAnsiTheme="majorBidi" w:cstheme="majorBidi"/>
          <w:color w:val="000000"/>
        </w:rPr>
      </w:pPr>
    </w:p>
    <w:p w:rsidR="006F3D8E" w:rsidRPr="00FD15A6" w:rsidRDefault="006F3D8E" w:rsidP="009F5C72">
      <w:pPr>
        <w:jc w:val="righ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  <w:color w:val="000000"/>
        </w:rPr>
        <w:t>6-</w:t>
      </w:r>
      <w:r w:rsidR="009F5C72">
        <w:rPr>
          <w:rFonts w:asciiTheme="majorBidi" w:hAnsiTheme="majorBidi" w:cstheme="majorBidi"/>
          <w:color w:val="000000"/>
        </w:rPr>
        <w:t xml:space="preserve"> D</w:t>
      </w:r>
      <w:r w:rsidRPr="00FD15A6">
        <w:rPr>
          <w:rFonts w:asciiTheme="majorBidi" w:hAnsiTheme="majorBidi" w:cstheme="majorBidi"/>
          <w:color w:val="000000"/>
        </w:rPr>
        <w:t>o the calculations</w:t>
      </w:r>
      <w:r w:rsidR="00924BAF" w:rsidRPr="00FD15A6">
        <w:rPr>
          <w:rFonts w:asciiTheme="majorBidi" w:hAnsiTheme="majorBidi" w:cstheme="majorBidi"/>
          <w:color w:val="000000"/>
        </w:rPr>
        <w:t xml:space="preserve"> </w:t>
      </w:r>
      <w:r w:rsidR="00924BAF" w:rsidRPr="00FD15A6">
        <w:rPr>
          <w:rFonts w:asciiTheme="majorBidi" w:hAnsiTheme="majorBidi" w:cstheme="majorBidi"/>
        </w:rPr>
        <w:t>using the following equation:</w:t>
      </w:r>
    </w:p>
    <w:p w:rsidR="00924BAF" w:rsidRPr="00FD15A6" w:rsidRDefault="00924BAF" w:rsidP="009F5C72">
      <w:pPr>
        <w:jc w:val="right"/>
        <w:rPr>
          <w:rFonts w:asciiTheme="majorBidi" w:hAnsiTheme="majorBidi" w:cstheme="majorBidi"/>
        </w:rPr>
      </w:pPr>
      <w:r w:rsidRPr="00FD15A6">
        <w:rPr>
          <w:rFonts w:asciiTheme="majorBidi" w:hAnsiTheme="majorBidi" w:cstheme="majorBidi"/>
        </w:rPr>
        <w:lastRenderedPageBreak/>
        <w:t>V</w:t>
      </w:r>
      <w:r w:rsidRPr="00FD15A6">
        <w:rPr>
          <w:rFonts w:asciiTheme="majorBidi" w:hAnsiTheme="majorBidi" w:cstheme="majorBidi"/>
          <w:vertAlign w:val="subscript"/>
        </w:rPr>
        <w:t>1</w:t>
      </w:r>
      <w:r w:rsidRPr="00FD15A6">
        <w:rPr>
          <w:rFonts w:asciiTheme="majorBidi" w:hAnsiTheme="majorBidi" w:cstheme="majorBidi"/>
        </w:rPr>
        <w:t xml:space="preserve"> </w:t>
      </w:r>
      <w:r w:rsidR="009F5C72">
        <w:rPr>
          <w:rFonts w:asciiTheme="majorBidi" w:hAnsiTheme="majorBidi" w:cstheme="majorBidi"/>
        </w:rPr>
        <w:t>M</w:t>
      </w:r>
      <w:r w:rsidRPr="00FD15A6">
        <w:rPr>
          <w:rFonts w:asciiTheme="majorBidi" w:hAnsiTheme="majorBidi" w:cstheme="majorBidi"/>
          <w:vertAlign w:val="subscript"/>
        </w:rPr>
        <w:t>1</w:t>
      </w:r>
      <w:r w:rsidRPr="00FD15A6">
        <w:rPr>
          <w:rFonts w:asciiTheme="majorBidi" w:hAnsiTheme="majorBidi" w:cstheme="majorBidi"/>
        </w:rPr>
        <w:t xml:space="preserve"> = V</w:t>
      </w:r>
      <w:r w:rsidRPr="00FD15A6">
        <w:rPr>
          <w:rFonts w:asciiTheme="majorBidi" w:hAnsiTheme="majorBidi" w:cstheme="majorBidi"/>
          <w:vertAlign w:val="subscript"/>
        </w:rPr>
        <w:t>2</w:t>
      </w:r>
      <w:r w:rsidRPr="00FD15A6">
        <w:rPr>
          <w:rFonts w:asciiTheme="majorBidi" w:hAnsiTheme="majorBidi" w:cstheme="majorBidi"/>
        </w:rPr>
        <w:t xml:space="preserve"> </w:t>
      </w:r>
      <w:r w:rsidR="009F5C72">
        <w:rPr>
          <w:rFonts w:asciiTheme="majorBidi" w:hAnsiTheme="majorBidi" w:cstheme="majorBidi"/>
        </w:rPr>
        <w:t>M</w:t>
      </w:r>
      <w:r w:rsidR="00D15B5A" w:rsidRPr="00FD15A6">
        <w:rPr>
          <w:rFonts w:asciiTheme="majorBidi" w:hAnsiTheme="majorBidi" w:cstheme="majorBidi"/>
          <w:vertAlign w:val="subscript"/>
        </w:rPr>
        <w:t>2</w:t>
      </w:r>
    </w:p>
    <w:p w:rsidR="00B545ED" w:rsidRPr="00FD15A6" w:rsidRDefault="00B545ED" w:rsidP="00924BAF">
      <w:pPr>
        <w:jc w:val="right"/>
        <w:rPr>
          <w:rFonts w:asciiTheme="majorBidi" w:hAnsiTheme="majorBidi" w:cstheme="majorBidi"/>
        </w:rPr>
      </w:pPr>
    </w:p>
    <w:p w:rsidR="00B545ED" w:rsidRPr="00FD15A6" w:rsidRDefault="00B545ED" w:rsidP="00B545ED">
      <w:pPr>
        <w:bidi w:val="0"/>
        <w:rPr>
          <w:rFonts w:asciiTheme="majorBidi" w:eastAsia="Times New Roman" w:hAnsiTheme="majorBidi" w:cstheme="majorBidi"/>
        </w:rPr>
      </w:pPr>
      <w:r w:rsidRPr="00FD15A6">
        <w:rPr>
          <w:rFonts w:asciiTheme="majorBidi" w:eastAsia="Times New Roman" w:hAnsiTheme="majorBidi" w:cstheme="majorBidi"/>
        </w:rPr>
        <w:t>Where:</w:t>
      </w:r>
    </w:p>
    <w:p w:rsidR="00B545ED" w:rsidRPr="00FD15A6" w:rsidRDefault="00B545ED" w:rsidP="00B545ED">
      <w:pPr>
        <w:bidi w:val="0"/>
        <w:rPr>
          <w:rFonts w:asciiTheme="majorBidi" w:eastAsia="Times New Roman" w:hAnsiTheme="majorBidi" w:cstheme="majorBidi"/>
        </w:rPr>
      </w:pPr>
    </w:p>
    <w:p w:rsidR="00DE1056" w:rsidRPr="009F5C72" w:rsidRDefault="00B545ED" w:rsidP="009F5C72">
      <w:pPr>
        <w:bidi w:val="0"/>
        <w:rPr>
          <w:rFonts w:asciiTheme="majorBidi" w:eastAsia="Times New Roman" w:hAnsiTheme="majorBidi" w:cstheme="majorBidi"/>
        </w:rPr>
      </w:pPr>
      <w:r w:rsidRPr="00FD15A6">
        <w:rPr>
          <w:rFonts w:asciiTheme="majorBidi" w:eastAsia="Times New Roman" w:hAnsiTheme="majorBidi" w:cstheme="majorBidi"/>
        </w:rPr>
        <w:t>V</w:t>
      </w:r>
      <w:r w:rsidRPr="00FD15A6">
        <w:rPr>
          <w:rFonts w:asciiTheme="majorBidi" w:eastAsia="Times New Roman" w:hAnsiTheme="majorBidi" w:cstheme="majorBidi"/>
          <w:vertAlign w:val="subscript"/>
        </w:rPr>
        <w:t>1</w:t>
      </w:r>
      <w:r w:rsidRPr="00FD15A6">
        <w:rPr>
          <w:rFonts w:asciiTheme="majorBidi" w:eastAsia="Times New Roman" w:hAnsiTheme="majorBidi" w:cstheme="majorBidi"/>
        </w:rPr>
        <w:t xml:space="preserve"> = volume of </w:t>
      </w:r>
      <w:proofErr w:type="spellStart"/>
      <w:r w:rsidRPr="00FD15A6">
        <w:rPr>
          <w:rFonts w:asciiTheme="majorBidi" w:eastAsia="Times New Roman" w:hAnsiTheme="majorBidi" w:cstheme="majorBidi"/>
        </w:rPr>
        <w:t>titrant</w:t>
      </w:r>
      <w:proofErr w:type="spellEnd"/>
      <w:r w:rsidRPr="00FD15A6">
        <w:rPr>
          <w:rFonts w:asciiTheme="majorBidi" w:eastAsia="Times New Roman" w:hAnsiTheme="majorBidi" w:cstheme="majorBidi"/>
        </w:rPr>
        <w:t xml:space="preserve"> used for the known solution</w:t>
      </w:r>
      <w:r w:rsidRPr="00FD15A6">
        <w:rPr>
          <w:rFonts w:asciiTheme="majorBidi" w:eastAsia="Times New Roman" w:hAnsiTheme="majorBidi" w:cstheme="majorBidi"/>
        </w:rPr>
        <w:br/>
        <w:t>V</w:t>
      </w:r>
      <w:r w:rsidRPr="00FD15A6">
        <w:rPr>
          <w:rFonts w:asciiTheme="majorBidi" w:eastAsia="Times New Roman" w:hAnsiTheme="majorBidi" w:cstheme="majorBidi"/>
          <w:vertAlign w:val="subscript"/>
        </w:rPr>
        <w:t>2</w:t>
      </w:r>
      <w:r w:rsidRPr="00FD15A6">
        <w:rPr>
          <w:rFonts w:asciiTheme="majorBidi" w:eastAsia="Times New Roman" w:hAnsiTheme="majorBidi" w:cstheme="majorBidi"/>
        </w:rPr>
        <w:t xml:space="preserve"> = volume of </w:t>
      </w:r>
      <w:proofErr w:type="spellStart"/>
      <w:r w:rsidRPr="00FD15A6">
        <w:rPr>
          <w:rFonts w:asciiTheme="majorBidi" w:eastAsia="Times New Roman" w:hAnsiTheme="majorBidi" w:cstheme="majorBidi"/>
        </w:rPr>
        <w:t>titrant</w:t>
      </w:r>
      <w:proofErr w:type="spellEnd"/>
      <w:r w:rsidRPr="00FD15A6">
        <w:rPr>
          <w:rFonts w:asciiTheme="majorBidi" w:eastAsia="Times New Roman" w:hAnsiTheme="majorBidi" w:cstheme="majorBidi"/>
        </w:rPr>
        <w:t xml:space="preserve"> used for the unknown solution</w:t>
      </w:r>
      <w:r w:rsidRPr="00FD15A6">
        <w:rPr>
          <w:rFonts w:asciiTheme="majorBidi" w:eastAsia="Times New Roman" w:hAnsiTheme="majorBidi" w:cstheme="majorBidi"/>
        </w:rPr>
        <w:br/>
      </w:r>
      <w:r w:rsidR="009F5C72">
        <w:rPr>
          <w:rFonts w:asciiTheme="majorBidi" w:eastAsia="Times New Roman" w:hAnsiTheme="majorBidi" w:cstheme="majorBidi"/>
        </w:rPr>
        <w:t>M</w:t>
      </w:r>
      <w:r w:rsidRPr="00FD15A6">
        <w:rPr>
          <w:rFonts w:asciiTheme="majorBidi" w:eastAsia="Times New Roman" w:hAnsiTheme="majorBidi" w:cstheme="majorBidi"/>
          <w:vertAlign w:val="subscript"/>
        </w:rPr>
        <w:t>1</w:t>
      </w:r>
      <w:r w:rsidRPr="00FD15A6">
        <w:rPr>
          <w:rFonts w:asciiTheme="majorBidi" w:eastAsia="Times New Roman" w:hAnsiTheme="majorBidi" w:cstheme="majorBidi"/>
        </w:rPr>
        <w:t xml:space="preserve"> = </w:t>
      </w:r>
      <w:proofErr w:type="spellStart"/>
      <w:r w:rsidR="009F5C72">
        <w:rPr>
          <w:rFonts w:asciiTheme="majorBidi" w:eastAsia="Times New Roman" w:hAnsiTheme="majorBidi" w:cstheme="majorBidi"/>
        </w:rPr>
        <w:t>Molarity</w:t>
      </w:r>
      <w:proofErr w:type="spellEnd"/>
      <w:r w:rsidR="009F5C72">
        <w:rPr>
          <w:rFonts w:asciiTheme="majorBidi" w:eastAsia="Times New Roman" w:hAnsiTheme="majorBidi" w:cstheme="majorBidi"/>
        </w:rPr>
        <w:t xml:space="preserve"> </w:t>
      </w:r>
      <w:r w:rsidRPr="00FD15A6">
        <w:rPr>
          <w:rFonts w:asciiTheme="majorBidi" w:eastAsia="Times New Roman" w:hAnsiTheme="majorBidi" w:cstheme="majorBidi"/>
        </w:rPr>
        <w:t>of the known solution</w:t>
      </w:r>
      <w:r w:rsidRPr="00FD15A6">
        <w:rPr>
          <w:rFonts w:asciiTheme="majorBidi" w:eastAsia="Times New Roman" w:hAnsiTheme="majorBidi" w:cstheme="majorBidi"/>
        </w:rPr>
        <w:br/>
      </w:r>
      <w:r w:rsidR="009F5C72">
        <w:rPr>
          <w:rFonts w:asciiTheme="majorBidi" w:eastAsia="Times New Roman" w:hAnsiTheme="majorBidi" w:cstheme="majorBidi"/>
        </w:rPr>
        <w:t>M</w:t>
      </w:r>
      <w:r w:rsidRPr="00FD15A6">
        <w:rPr>
          <w:rFonts w:asciiTheme="majorBidi" w:eastAsia="Times New Roman" w:hAnsiTheme="majorBidi" w:cstheme="majorBidi"/>
          <w:vertAlign w:val="subscript"/>
        </w:rPr>
        <w:t>2</w:t>
      </w:r>
      <w:r w:rsidRPr="00FD15A6">
        <w:rPr>
          <w:rFonts w:asciiTheme="majorBidi" w:eastAsia="Times New Roman" w:hAnsiTheme="majorBidi" w:cstheme="majorBidi"/>
        </w:rPr>
        <w:t xml:space="preserve"> =</w:t>
      </w:r>
      <w:proofErr w:type="spellStart"/>
      <w:r w:rsidR="009F5C72">
        <w:rPr>
          <w:rFonts w:asciiTheme="majorBidi" w:eastAsia="Times New Roman" w:hAnsiTheme="majorBidi" w:cstheme="majorBidi"/>
        </w:rPr>
        <w:t>Molarity</w:t>
      </w:r>
      <w:proofErr w:type="spellEnd"/>
      <w:r w:rsidR="00D15B5A" w:rsidRPr="00FD15A6">
        <w:rPr>
          <w:rFonts w:asciiTheme="majorBidi" w:eastAsia="Times New Roman" w:hAnsiTheme="majorBidi" w:cstheme="majorBidi"/>
        </w:rPr>
        <w:t xml:space="preserve"> </w:t>
      </w:r>
      <w:r w:rsidRPr="00FD15A6">
        <w:rPr>
          <w:rFonts w:asciiTheme="majorBidi" w:eastAsia="Times New Roman" w:hAnsiTheme="majorBidi" w:cstheme="majorBidi"/>
        </w:rPr>
        <w:t>of the unknown solution</w:t>
      </w:r>
    </w:p>
    <w:p w:rsidR="00DE1056" w:rsidRPr="00FD15A6" w:rsidRDefault="00DE1056" w:rsidP="00DE1056">
      <w:pPr>
        <w:pStyle w:val="Heading1"/>
        <w:bidi w:val="0"/>
        <w:jc w:val="center"/>
        <w:rPr>
          <w:rFonts w:asciiTheme="majorBidi" w:hAnsiTheme="majorBidi"/>
          <w:b w:val="0"/>
          <w:bCs w:val="0"/>
          <w:color w:val="auto"/>
          <w:sz w:val="24"/>
          <w:szCs w:val="24"/>
        </w:rPr>
      </w:pPr>
    </w:p>
    <w:p w:rsidR="00DE1056" w:rsidRPr="009F5C72" w:rsidRDefault="00DE1056" w:rsidP="009F5C72">
      <w:pPr>
        <w:pStyle w:val="Heading1"/>
        <w:bidi w:val="0"/>
        <w:jc w:val="center"/>
        <w:rPr>
          <w:rFonts w:asciiTheme="majorBidi" w:hAnsiTheme="majorBidi"/>
          <w:b w:val="0"/>
          <w:bCs w:val="0"/>
          <w:color w:val="auto"/>
        </w:rPr>
      </w:pPr>
      <w:proofErr w:type="gramStart"/>
      <w:r w:rsidRPr="009F5C72">
        <w:rPr>
          <w:rFonts w:asciiTheme="majorBidi" w:hAnsiTheme="majorBidi"/>
          <w:color w:val="auto"/>
        </w:rPr>
        <w:t>Titration of Sodium Hydroxide with Hydrochloric Acid</w:t>
      </w:r>
      <w:r w:rsidRPr="009F5C72">
        <w:rPr>
          <w:rFonts w:asciiTheme="majorBidi" w:hAnsiTheme="majorBidi"/>
          <w:b w:val="0"/>
          <w:bCs w:val="0"/>
          <w:color w:val="auto"/>
        </w:rPr>
        <w:t>.</w:t>
      </w:r>
      <w:proofErr w:type="gramEnd"/>
    </w:p>
    <w:p w:rsidR="00DE1056" w:rsidRPr="009F5C72" w:rsidRDefault="00DE1056" w:rsidP="009F5C72">
      <w:pPr>
        <w:bidi w:val="0"/>
        <w:jc w:val="center"/>
        <w:rPr>
          <w:rFonts w:asciiTheme="majorBidi" w:hAnsiTheme="majorBidi" w:cstheme="majorBidi"/>
        </w:rPr>
      </w:pPr>
    </w:p>
    <w:p w:rsidR="009F6AB2" w:rsidRPr="009F5C72" w:rsidRDefault="009F6AB2" w:rsidP="00DE1056">
      <w:pPr>
        <w:bidi w:val="0"/>
        <w:rPr>
          <w:rFonts w:asciiTheme="majorBidi" w:hAnsiTheme="majorBidi" w:cstheme="majorBidi"/>
          <w:b/>
          <w:bCs/>
        </w:rPr>
      </w:pPr>
      <w:r w:rsidRPr="009F5C72">
        <w:rPr>
          <w:rFonts w:asciiTheme="majorBidi" w:hAnsiTheme="majorBidi" w:cstheme="majorBidi"/>
          <w:b/>
          <w:bCs/>
        </w:rPr>
        <w:t>The reaction:</w:t>
      </w:r>
    </w:p>
    <w:p w:rsidR="009F6AB2" w:rsidRPr="009F5C72" w:rsidRDefault="009F6AB2" w:rsidP="009F6AB2">
      <w:pPr>
        <w:bidi w:val="0"/>
        <w:rPr>
          <w:rFonts w:asciiTheme="majorBidi" w:hAnsiTheme="majorBidi" w:cstheme="majorBidi"/>
        </w:rPr>
      </w:pPr>
    </w:p>
    <w:p w:rsidR="005F6153" w:rsidRPr="00B0235E" w:rsidRDefault="00874C7B" w:rsidP="00B0235E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8.25pt;margin-top:6.8pt;width:58.5pt;height:0;z-index:251664384" o:connectortype="straight">
            <v:stroke endarrow="block"/>
            <w10:wrap anchorx="page"/>
          </v:shape>
        </w:pict>
      </w:r>
      <w:proofErr w:type="spellStart"/>
      <w:r w:rsidR="009F6AB2" w:rsidRPr="009F5C72">
        <w:rPr>
          <w:rFonts w:asciiTheme="majorBidi" w:hAnsiTheme="majorBidi" w:cstheme="majorBidi"/>
        </w:rPr>
        <w:t>HCl</w:t>
      </w:r>
      <w:proofErr w:type="spellEnd"/>
      <w:r w:rsidR="009F6AB2" w:rsidRPr="009F5C72">
        <w:rPr>
          <w:rFonts w:asciiTheme="majorBidi" w:hAnsiTheme="majorBidi" w:cstheme="majorBidi"/>
        </w:rPr>
        <w:t xml:space="preserve"> + </w:t>
      </w:r>
      <w:proofErr w:type="spellStart"/>
      <w:r w:rsidR="009F6AB2" w:rsidRPr="009F5C72">
        <w:rPr>
          <w:rFonts w:asciiTheme="majorBidi" w:hAnsiTheme="majorBidi" w:cstheme="majorBidi"/>
        </w:rPr>
        <w:t>NaOH</w:t>
      </w:r>
      <w:proofErr w:type="spellEnd"/>
      <w:r w:rsidR="009F6AB2" w:rsidRPr="009F5C72">
        <w:rPr>
          <w:rFonts w:asciiTheme="majorBidi" w:hAnsiTheme="majorBidi" w:cstheme="majorBidi"/>
        </w:rPr>
        <w:t xml:space="preserve">                      </w:t>
      </w:r>
      <w:proofErr w:type="spellStart"/>
      <w:r w:rsidR="009F6AB2" w:rsidRPr="009F5C72">
        <w:rPr>
          <w:rFonts w:asciiTheme="majorBidi" w:hAnsiTheme="majorBidi" w:cstheme="majorBidi"/>
        </w:rPr>
        <w:t>NaCl</w:t>
      </w:r>
      <w:proofErr w:type="spellEnd"/>
      <w:r w:rsidR="009F6AB2" w:rsidRPr="009F5C72">
        <w:rPr>
          <w:rFonts w:asciiTheme="majorBidi" w:hAnsiTheme="majorBidi" w:cstheme="majorBidi"/>
        </w:rPr>
        <w:t xml:space="preserve"> +H</w:t>
      </w:r>
      <w:r w:rsidR="009F6AB2" w:rsidRPr="00B0235E">
        <w:rPr>
          <w:rFonts w:asciiTheme="majorBidi" w:hAnsiTheme="majorBidi" w:cstheme="majorBidi"/>
          <w:vertAlign w:val="subscript"/>
        </w:rPr>
        <w:t>2</w:t>
      </w:r>
      <w:r w:rsidR="009F6AB2" w:rsidRPr="009F5C72">
        <w:rPr>
          <w:rFonts w:asciiTheme="majorBidi" w:hAnsiTheme="majorBidi" w:cstheme="majorBidi"/>
        </w:rPr>
        <w:t>O</w:t>
      </w:r>
      <w:r w:rsidR="005F6153" w:rsidRPr="009F5C72">
        <w:rPr>
          <w:rFonts w:asciiTheme="majorBidi" w:eastAsia="Times New Roman" w:hAnsiTheme="majorBidi" w:cstheme="majorBidi"/>
          <w:b/>
          <w:bCs/>
        </w:rPr>
        <w:t xml:space="preserve">                                              </w:t>
      </w:r>
      <w:r w:rsidR="005F6153" w:rsidRPr="009F5C72">
        <w:rPr>
          <w:rFonts w:asciiTheme="majorBidi" w:eastAsia="Times New Roman" w:hAnsiTheme="majorBidi" w:cstheme="majorBidi"/>
        </w:rPr>
        <w:t xml:space="preserve"> </w:t>
      </w:r>
    </w:p>
    <w:p w:rsidR="005F6153" w:rsidRPr="00DE1056" w:rsidRDefault="00766BD7" w:rsidP="005F6153">
      <w:pPr>
        <w:bidi w:val="0"/>
        <w:spacing w:before="100" w:beforeAutospacing="1" w:after="100" w:afterAutospacing="1"/>
        <w:outlineLvl w:val="3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proofErr w:type="gramStart"/>
      <w:r w:rsidRPr="009F5C72">
        <w:rPr>
          <w:rFonts w:asciiTheme="majorBidi" w:eastAsia="Times New Roman" w:hAnsiTheme="majorBidi" w:cstheme="majorBidi"/>
          <w:b/>
          <w:bCs/>
        </w:rPr>
        <w:t>p</w:t>
      </w:r>
      <w:r w:rsidR="005F6153" w:rsidRPr="009F5C72">
        <w:rPr>
          <w:rFonts w:asciiTheme="majorBidi" w:eastAsia="Times New Roman" w:hAnsiTheme="majorBidi" w:cstheme="majorBidi"/>
          <w:b/>
          <w:bCs/>
        </w:rPr>
        <w:t>rocedure</w:t>
      </w:r>
      <w:r w:rsidR="00DE1056" w:rsidRPr="009F5C72">
        <w:rPr>
          <w:rFonts w:asciiTheme="majorBidi" w:eastAsia="Times New Roman" w:hAnsiTheme="majorBidi" w:cstheme="majorBidi"/>
          <w:b/>
          <w:bCs/>
        </w:rPr>
        <w:t xml:space="preserve"> :</w:t>
      </w:r>
      <w:proofErr w:type="gramEnd"/>
    </w:p>
    <w:p w:rsidR="005F6153" w:rsidRPr="00D15B5A" w:rsidRDefault="005F6153" w:rsidP="00D15B5A">
      <w:pPr>
        <w:pStyle w:val="ListParagraph"/>
        <w:numPr>
          <w:ilvl w:val="0"/>
          <w:numId w:val="10"/>
        </w:num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r w:rsidRPr="00D15B5A">
        <w:rPr>
          <w:rFonts w:asciiTheme="majorBidi" w:eastAsia="Times New Roman" w:hAnsiTheme="majorBidi" w:cstheme="majorBidi"/>
        </w:rPr>
        <w:t xml:space="preserve">Pipette </w:t>
      </w:r>
      <w:r w:rsidR="009F6AB2" w:rsidRPr="00D15B5A">
        <w:rPr>
          <w:rFonts w:asciiTheme="majorBidi" w:eastAsia="Times New Roman" w:hAnsiTheme="majorBidi" w:cstheme="majorBidi"/>
        </w:rPr>
        <w:t>10</w:t>
      </w:r>
      <w:r w:rsidR="00D15B5A">
        <w:rPr>
          <w:rFonts w:asciiTheme="majorBidi" w:eastAsia="Times New Roman" w:hAnsiTheme="majorBidi" w:cstheme="majorBidi"/>
        </w:rPr>
        <w:t xml:space="preserve"> </w:t>
      </w:r>
      <w:r w:rsidR="009F6AB2" w:rsidRPr="00D15B5A">
        <w:rPr>
          <w:rFonts w:asciiTheme="majorBidi" w:eastAsia="Times New Roman" w:hAnsiTheme="majorBidi" w:cstheme="majorBidi"/>
        </w:rPr>
        <w:t>ml</w:t>
      </w:r>
      <w:r w:rsidRPr="00D15B5A">
        <w:rPr>
          <w:rFonts w:asciiTheme="majorBidi" w:eastAsia="Times New Roman" w:hAnsiTheme="majorBidi" w:cstheme="majorBidi"/>
        </w:rPr>
        <w:t xml:space="preserve"> of </w:t>
      </w:r>
      <w:r w:rsidR="00D15B5A">
        <w:rPr>
          <w:rFonts w:asciiTheme="majorBidi" w:eastAsia="Times New Roman" w:hAnsiTheme="majorBidi" w:cstheme="majorBidi"/>
        </w:rPr>
        <w:t>S</w:t>
      </w:r>
      <w:r w:rsidRPr="00D15B5A">
        <w:rPr>
          <w:rFonts w:asciiTheme="majorBidi" w:eastAsia="Times New Roman" w:hAnsiTheme="majorBidi" w:cstheme="majorBidi"/>
        </w:rPr>
        <w:t>odium hydroxide solution into</w:t>
      </w:r>
      <w:r w:rsidR="00DE1056" w:rsidRPr="00D15B5A">
        <w:rPr>
          <w:rFonts w:asciiTheme="majorBidi" w:eastAsia="Times New Roman" w:hAnsiTheme="majorBidi" w:cstheme="majorBidi"/>
        </w:rPr>
        <w:t xml:space="preserve"> 250</w:t>
      </w:r>
      <w:r w:rsidR="00D15B5A">
        <w:rPr>
          <w:rFonts w:asciiTheme="majorBidi" w:eastAsia="Times New Roman" w:hAnsiTheme="majorBidi" w:cstheme="majorBidi"/>
        </w:rPr>
        <w:t xml:space="preserve"> </w:t>
      </w:r>
      <w:r w:rsidR="00DE1056" w:rsidRPr="00D15B5A">
        <w:rPr>
          <w:rFonts w:asciiTheme="majorBidi" w:eastAsia="Times New Roman" w:hAnsiTheme="majorBidi" w:cstheme="majorBidi"/>
        </w:rPr>
        <w:t>ml conical flask</w:t>
      </w:r>
      <w:r w:rsidR="006120ED" w:rsidRPr="00D15B5A">
        <w:rPr>
          <w:rFonts w:asciiTheme="majorBidi" w:eastAsia="Times New Roman" w:hAnsiTheme="majorBidi" w:cstheme="majorBidi"/>
        </w:rPr>
        <w:t>.</w:t>
      </w:r>
      <w:r w:rsidR="003750FC" w:rsidRPr="00D15B5A">
        <w:rPr>
          <w:rFonts w:asciiTheme="majorBidi" w:eastAsia="Times New Roman" w:hAnsiTheme="majorBidi" w:cstheme="majorBidi"/>
        </w:rPr>
        <w:t xml:space="preserve">    </w:t>
      </w:r>
      <w:r w:rsidR="009F6AB2" w:rsidRPr="00D15B5A">
        <w:rPr>
          <w:rFonts w:asciiTheme="majorBidi" w:eastAsia="Times New Roman" w:hAnsiTheme="majorBidi" w:cstheme="majorBidi"/>
        </w:rPr>
        <w:t xml:space="preserve">      </w:t>
      </w:r>
    </w:p>
    <w:p w:rsidR="005F6153" w:rsidRPr="00D15B5A" w:rsidRDefault="003750FC" w:rsidP="006120ED">
      <w:pPr>
        <w:pStyle w:val="ListParagraph"/>
        <w:numPr>
          <w:ilvl w:val="0"/>
          <w:numId w:val="10"/>
        </w:num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r w:rsidRPr="00D15B5A">
        <w:rPr>
          <w:rFonts w:asciiTheme="majorBidi" w:eastAsia="Times New Roman" w:hAnsiTheme="majorBidi" w:cstheme="majorBidi"/>
        </w:rPr>
        <w:t xml:space="preserve"> </w:t>
      </w:r>
      <w:r w:rsidR="00DE1056" w:rsidRPr="00D15B5A">
        <w:rPr>
          <w:rFonts w:asciiTheme="majorBidi" w:eastAsia="Times New Roman" w:hAnsiTheme="majorBidi" w:cstheme="majorBidi"/>
        </w:rPr>
        <w:t xml:space="preserve"> </w:t>
      </w:r>
      <w:r w:rsidR="005F6153" w:rsidRPr="00D15B5A">
        <w:rPr>
          <w:rFonts w:asciiTheme="majorBidi" w:eastAsia="Times New Roman" w:hAnsiTheme="majorBidi" w:cstheme="majorBidi"/>
        </w:rPr>
        <w:t>Add 1-2 drops of Phenol</w:t>
      </w:r>
      <w:r w:rsidR="006120ED" w:rsidRPr="00D15B5A">
        <w:rPr>
          <w:rFonts w:asciiTheme="majorBidi" w:eastAsia="Times New Roman" w:hAnsiTheme="majorBidi" w:cstheme="majorBidi"/>
        </w:rPr>
        <w:t>p</w:t>
      </w:r>
      <w:r w:rsidR="005F6153" w:rsidRPr="00D15B5A">
        <w:rPr>
          <w:rFonts w:asciiTheme="majorBidi" w:eastAsia="Times New Roman" w:hAnsiTheme="majorBidi" w:cstheme="majorBidi"/>
        </w:rPr>
        <w:t>hthale</w:t>
      </w:r>
      <w:r w:rsidR="006120ED" w:rsidRPr="00D15B5A">
        <w:rPr>
          <w:rFonts w:asciiTheme="majorBidi" w:eastAsia="Times New Roman" w:hAnsiTheme="majorBidi" w:cstheme="majorBidi"/>
        </w:rPr>
        <w:t>i</w:t>
      </w:r>
      <w:r w:rsidR="005F6153" w:rsidRPr="00D15B5A">
        <w:rPr>
          <w:rFonts w:asciiTheme="majorBidi" w:eastAsia="Times New Roman" w:hAnsiTheme="majorBidi" w:cstheme="majorBidi"/>
        </w:rPr>
        <w:t xml:space="preserve">n solution.  </w:t>
      </w:r>
    </w:p>
    <w:p w:rsidR="00766BD7" w:rsidRPr="00D15B5A" w:rsidRDefault="005C6F64" w:rsidP="00DE1056">
      <w:pPr>
        <w:pStyle w:val="ListParagraph"/>
        <w:numPr>
          <w:ilvl w:val="0"/>
          <w:numId w:val="10"/>
        </w:num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r w:rsidRPr="00D15B5A">
        <w:rPr>
          <w:rFonts w:asciiTheme="majorBidi" w:eastAsia="Times New Roman" w:hAnsiTheme="majorBidi" w:cstheme="majorBidi"/>
        </w:rPr>
        <w:t xml:space="preserve"> Titrate</w:t>
      </w:r>
      <w:r w:rsidR="005F6153" w:rsidRPr="00D15B5A">
        <w:rPr>
          <w:rFonts w:asciiTheme="majorBidi" w:hAnsiTheme="majorBidi" w:cstheme="majorBidi"/>
        </w:rPr>
        <w:t xml:space="preserve"> with hydrochloric acid solution till the first</w:t>
      </w:r>
      <w:r w:rsidR="009F6AB2" w:rsidRPr="00D15B5A">
        <w:rPr>
          <w:rFonts w:asciiTheme="majorBidi" w:hAnsiTheme="majorBidi" w:cstheme="majorBidi"/>
        </w:rPr>
        <w:t xml:space="preserve"> color change</w:t>
      </w:r>
      <w:r w:rsidR="00D15B5A">
        <w:rPr>
          <w:rFonts w:asciiTheme="majorBidi" w:hAnsiTheme="majorBidi" w:cstheme="majorBidi"/>
        </w:rPr>
        <w:t>.</w:t>
      </w:r>
      <w:r w:rsidR="005F6153" w:rsidRPr="00D15B5A">
        <w:rPr>
          <w:rFonts w:asciiTheme="majorBidi" w:eastAsia="Times New Roman" w:hAnsiTheme="majorBidi" w:cstheme="majorBidi"/>
        </w:rPr>
        <w:t xml:space="preserve"> </w:t>
      </w:r>
    </w:p>
    <w:p w:rsidR="005F6153" w:rsidRPr="00D15B5A" w:rsidRDefault="00766BD7" w:rsidP="00766BD7">
      <w:pPr>
        <w:pStyle w:val="ListParagraph"/>
        <w:numPr>
          <w:ilvl w:val="0"/>
          <w:numId w:val="10"/>
        </w:num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r w:rsidRPr="00D15B5A">
        <w:rPr>
          <w:rFonts w:asciiTheme="majorBidi" w:eastAsia="Times New Roman" w:hAnsiTheme="majorBidi" w:cstheme="majorBidi"/>
        </w:rPr>
        <w:t xml:space="preserve">Calculate the concentration of Sodium </w:t>
      </w:r>
      <w:proofErr w:type="gramStart"/>
      <w:r w:rsidRPr="00D15B5A">
        <w:rPr>
          <w:rFonts w:asciiTheme="majorBidi" w:eastAsia="Times New Roman" w:hAnsiTheme="majorBidi" w:cstheme="majorBidi"/>
        </w:rPr>
        <w:t>Hydroxide</w:t>
      </w:r>
      <w:r w:rsidR="005F6153" w:rsidRPr="00D15B5A">
        <w:rPr>
          <w:rFonts w:asciiTheme="majorBidi" w:eastAsia="Times New Roman" w:hAnsiTheme="majorBidi" w:cstheme="majorBidi"/>
        </w:rPr>
        <w:t xml:space="preserve"> </w:t>
      </w:r>
      <w:r w:rsidR="006120ED" w:rsidRPr="00D15B5A">
        <w:rPr>
          <w:rFonts w:asciiTheme="majorBidi" w:eastAsia="Times New Roman" w:hAnsiTheme="majorBidi" w:cstheme="majorBidi"/>
        </w:rPr>
        <w:t>.</w:t>
      </w:r>
      <w:proofErr w:type="gramEnd"/>
      <w:r w:rsidR="005F6153" w:rsidRPr="00D15B5A">
        <w:rPr>
          <w:rFonts w:asciiTheme="majorBidi" w:eastAsia="Times New Roman" w:hAnsiTheme="majorBidi" w:cstheme="majorBidi"/>
        </w:rPr>
        <w:t xml:space="preserve">                                                                                             </w:t>
      </w:r>
    </w:p>
    <w:p w:rsidR="005F6153" w:rsidRPr="00DE1056" w:rsidRDefault="005F6153" w:rsidP="005F6153">
      <w:pPr>
        <w:bidi w:val="0"/>
        <w:spacing w:line="336" w:lineRule="atLeast"/>
        <w:ind w:left="4395"/>
        <w:rPr>
          <w:rFonts w:asciiTheme="majorBidi" w:eastAsia="Times New Roman" w:hAnsiTheme="majorBidi" w:cstheme="majorBidi"/>
          <w:sz w:val="28"/>
          <w:szCs w:val="28"/>
        </w:rPr>
      </w:pPr>
      <w:r w:rsidRPr="00DE1056">
        <w:rPr>
          <w:rFonts w:asciiTheme="majorBidi" w:eastAsia="Times New Roman" w:hAnsiTheme="majorBidi" w:cstheme="majorBidi"/>
          <w:sz w:val="28"/>
          <w:szCs w:val="28"/>
        </w:rPr>
        <w:t xml:space="preserve">                                                                                                  </w:t>
      </w:r>
    </w:p>
    <w:p w:rsidR="00B545ED" w:rsidRPr="00DE1056" w:rsidRDefault="00B545ED" w:rsidP="005F6153">
      <w:pPr>
        <w:bidi w:val="0"/>
        <w:rPr>
          <w:rFonts w:asciiTheme="majorBidi" w:hAnsiTheme="majorBidi" w:cstheme="majorBidi"/>
        </w:rPr>
      </w:pPr>
    </w:p>
    <w:p w:rsidR="00B545ED" w:rsidRPr="00DE1056" w:rsidRDefault="00B545ED" w:rsidP="00B545ED">
      <w:pPr>
        <w:bidi w:val="0"/>
        <w:rPr>
          <w:rFonts w:asciiTheme="majorBidi" w:eastAsia="Times New Roman" w:hAnsiTheme="majorBidi" w:cstheme="majorBidi"/>
          <w:sz w:val="40"/>
          <w:szCs w:val="40"/>
        </w:rPr>
      </w:pPr>
    </w:p>
    <w:p w:rsidR="00B545ED" w:rsidRPr="00B545ED" w:rsidRDefault="00B545ED" w:rsidP="00924BAF">
      <w:pPr>
        <w:jc w:val="right"/>
        <w:rPr>
          <w:sz w:val="28"/>
          <w:szCs w:val="28"/>
          <w:rtl/>
        </w:rPr>
      </w:pPr>
    </w:p>
    <w:sectPr w:rsidR="00B545ED" w:rsidRPr="00B545ED" w:rsidSect="00766BD7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in;height:3in" o:bullet="t"/>
    </w:pict>
  </w:numPicBullet>
  <w:abstractNum w:abstractNumId="0">
    <w:nsid w:val="05302A65"/>
    <w:multiLevelType w:val="multilevel"/>
    <w:tmpl w:val="2130A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60BD3"/>
    <w:multiLevelType w:val="hybridMultilevel"/>
    <w:tmpl w:val="7E1A2FC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A432F2"/>
    <w:multiLevelType w:val="multilevel"/>
    <w:tmpl w:val="62F8606C"/>
    <w:lvl w:ilvl="0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95"/>
        </w:tabs>
        <w:ind w:left="97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  <w:sz w:val="20"/>
      </w:rPr>
    </w:lvl>
  </w:abstractNum>
  <w:abstractNum w:abstractNumId="3">
    <w:nsid w:val="3DA659E9"/>
    <w:multiLevelType w:val="hybridMultilevel"/>
    <w:tmpl w:val="F2FA06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7302A"/>
    <w:multiLevelType w:val="hybridMultilevel"/>
    <w:tmpl w:val="CC1859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B35F8"/>
    <w:multiLevelType w:val="hybridMultilevel"/>
    <w:tmpl w:val="629454E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027EEF"/>
    <w:multiLevelType w:val="hybridMultilevel"/>
    <w:tmpl w:val="A120F33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55498"/>
    <w:multiLevelType w:val="hybridMultilevel"/>
    <w:tmpl w:val="BA52609C"/>
    <w:lvl w:ilvl="0" w:tplc="9EE68E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B15371"/>
    <w:multiLevelType w:val="multilevel"/>
    <w:tmpl w:val="AC96A64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8129E0"/>
    <w:multiLevelType w:val="hybridMultilevel"/>
    <w:tmpl w:val="47BC6CDE"/>
    <w:lvl w:ilvl="0" w:tplc="04090001">
      <w:start w:val="1"/>
      <w:numFmt w:val="bullet"/>
      <w:lvlText w:val=""/>
      <w:lvlJc w:val="left"/>
      <w:pPr>
        <w:ind w:left="63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0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7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9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6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73" w:hanging="360"/>
      </w:pPr>
      <w:rPr>
        <w:rFonts w:ascii="Wingdings" w:hAnsi="Wingdings" w:hint="default"/>
      </w:rPr>
    </w:lvl>
  </w:abstractNum>
  <w:abstractNum w:abstractNumId="10">
    <w:nsid w:val="7886746D"/>
    <w:multiLevelType w:val="hybridMultilevel"/>
    <w:tmpl w:val="594E9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22EA2"/>
    <w:multiLevelType w:val="hybridMultilevel"/>
    <w:tmpl w:val="9E94038E"/>
    <w:lvl w:ilvl="0" w:tplc="EEC82FF8">
      <w:start w:val="1"/>
      <w:numFmt w:val="decimal"/>
      <w:lvlText w:val="%1-"/>
      <w:lvlJc w:val="left"/>
      <w:pPr>
        <w:ind w:left="83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7FDD17B5"/>
    <w:multiLevelType w:val="hybridMultilevel"/>
    <w:tmpl w:val="6F3E1BA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3B03"/>
    <w:rsid w:val="00025AB3"/>
    <w:rsid w:val="00094217"/>
    <w:rsid w:val="000D316C"/>
    <w:rsid w:val="000F5A83"/>
    <w:rsid w:val="00177AC5"/>
    <w:rsid w:val="001E7DB6"/>
    <w:rsid w:val="002A1C29"/>
    <w:rsid w:val="002B4793"/>
    <w:rsid w:val="002F685E"/>
    <w:rsid w:val="003129DC"/>
    <w:rsid w:val="003750FC"/>
    <w:rsid w:val="003A72C1"/>
    <w:rsid w:val="003C0A15"/>
    <w:rsid w:val="003C6D7F"/>
    <w:rsid w:val="00425ED1"/>
    <w:rsid w:val="00432B60"/>
    <w:rsid w:val="004475DF"/>
    <w:rsid w:val="004520A3"/>
    <w:rsid w:val="00550F4C"/>
    <w:rsid w:val="005C6F64"/>
    <w:rsid w:val="005F6153"/>
    <w:rsid w:val="006120ED"/>
    <w:rsid w:val="006446B9"/>
    <w:rsid w:val="006932C0"/>
    <w:rsid w:val="006B5549"/>
    <w:rsid w:val="006F16AB"/>
    <w:rsid w:val="006F3D8E"/>
    <w:rsid w:val="00737D55"/>
    <w:rsid w:val="00766BD7"/>
    <w:rsid w:val="007677BE"/>
    <w:rsid w:val="00770FA5"/>
    <w:rsid w:val="00782135"/>
    <w:rsid w:val="008440CB"/>
    <w:rsid w:val="00874C7B"/>
    <w:rsid w:val="008966BC"/>
    <w:rsid w:val="009206FC"/>
    <w:rsid w:val="00924BAF"/>
    <w:rsid w:val="00956FE1"/>
    <w:rsid w:val="0098269C"/>
    <w:rsid w:val="009B06BB"/>
    <w:rsid w:val="009F5C72"/>
    <w:rsid w:val="009F6AB2"/>
    <w:rsid w:val="00A227C2"/>
    <w:rsid w:val="00AB5C18"/>
    <w:rsid w:val="00B00CC9"/>
    <w:rsid w:val="00B0235E"/>
    <w:rsid w:val="00B16DD2"/>
    <w:rsid w:val="00B42975"/>
    <w:rsid w:val="00B4502C"/>
    <w:rsid w:val="00B545ED"/>
    <w:rsid w:val="00BF3010"/>
    <w:rsid w:val="00C7001C"/>
    <w:rsid w:val="00C875C3"/>
    <w:rsid w:val="00CE1A84"/>
    <w:rsid w:val="00D15B5A"/>
    <w:rsid w:val="00D42107"/>
    <w:rsid w:val="00D53B03"/>
    <w:rsid w:val="00DA62D6"/>
    <w:rsid w:val="00DD2202"/>
    <w:rsid w:val="00DE1056"/>
    <w:rsid w:val="00E401EA"/>
    <w:rsid w:val="00FD15A6"/>
    <w:rsid w:val="00FE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4" type="connector" idref="#_s1034">
          <o:proxy start="" idref="#_s1050" connectloc="1"/>
        </o:r>
        <o:r id="V:Rule15" type="connector" idref="#_s1037">
          <o:proxy start="" idref="#_s1047" connectloc="0"/>
          <o:proxy end="" idref="#_s1043" connectloc="2"/>
        </o:r>
        <o:r id="V:Rule16" type="connector" idref="#_s1039">
          <o:proxy start="" idref="#_s1045" connectloc="0"/>
          <o:proxy end="" idref="#_s1043" connectloc="2"/>
        </o:r>
        <o:r id="V:Rule17" type="connector" idref="#_s1041"/>
        <o:r id="V:Rule18" type="connector" idref="#_s1031">
          <o:proxy start="" idref="#_s1055" connectloc="1"/>
          <o:proxy end="" idref="#_s1047" connectloc="2"/>
        </o:r>
        <o:r id="V:Rule19" type="connector" idref="#_s1033">
          <o:proxy start="" idref="#_s1051" connectloc="1"/>
          <o:proxy end="" idref="#_s1050" connectloc="2"/>
        </o:r>
        <o:r id="V:Rule20" type="connector" idref="#_s1040">
          <o:proxy start="" idref="#_s1044" connectloc="0"/>
          <o:proxy end="" idref="#_s1043" connectloc="2"/>
        </o:r>
        <o:r id="V:Rule21" type="connector" idref="#_x0000_s1053"/>
        <o:r id="V:Rule22" type="connector" idref="#_x0000_s1027"/>
        <o:r id="V:Rule23" type="connector" idref="#_s1038">
          <o:proxy start="" idref="#_s1046" connectloc="0"/>
          <o:proxy end="" idref="#_s1043" connectloc="2"/>
        </o:r>
        <o:r id="V:Rule24" type="connector" idref="#_s1036">
          <o:proxy end="" idref="#_s1047" connectloc="2"/>
        </o:r>
        <o:r id="V:Rule25" type="connector" idref="#_s1035"/>
        <o:r id="V:Rule26" type="connector" idref="#_s1032">
          <o:proxy start="" idref="#_s1054" connectloc="2"/>
          <o:proxy end="" idref="#_s1047" connectloc="2"/>
        </o:r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5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6F3D8E"/>
    <w:pPr>
      <w:outlineLvl w:val="1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3B0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F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21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42107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D4210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6F3D8E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A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54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act1">
    <w:name w:val="react1"/>
    <w:basedOn w:val="Normal"/>
    <w:rsid w:val="005F6153"/>
    <w:pPr>
      <w:bidi w:val="0"/>
      <w:spacing w:before="100" w:beforeAutospacing="1" w:after="100" w:afterAutospacing="1" w:line="336" w:lineRule="atLeast"/>
      <w:ind w:left="480"/>
    </w:pPr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0D316C"/>
    <w:pPr>
      <w:bidi w:val="0"/>
      <w:spacing w:before="100" w:beforeAutospacing="1" w:after="100" w:afterAutospacing="1"/>
    </w:pPr>
    <w:rPr>
      <w:rFonts w:eastAsia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0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50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166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7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39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7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0296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871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5672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5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6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3740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  <w:div w:id="15245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9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9259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2423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rythingbio.com/glos/definition.php?ID=2701" TargetMode="External"/><Relationship Id="rId13" Type="http://schemas.openxmlformats.org/officeDocument/2006/relationships/hyperlink" Target="http://images.google.com/imgres?imgurl=http://www.thesciencefair.com/Merchant2/graphics/00000001/VolPiptSt6_M.jpg&amp;imgrefurl=http://www.thesciencefair.com/Merchant2/merchant.mvc?Screen=PROD&amp;Product_Code=3871-55&amp;Category_Code=PIP&amp;usg=__qud53-QMIdUGjEr6agxcUzXrnvk=&amp;h=400&amp;w=332&amp;sz=26&amp;hl=en&amp;start=1&amp;um=1&amp;itbs=1&amp;tbnid=73UCLeTlAsoKdM:&amp;tbnh=124&amp;tbnw=103&amp;prev=/images?q=pipet&amp;um=1&amp;hl=en&amp;safe=active&amp;sa=G&amp;tbs=isch:1" TargetMode="External"/><Relationship Id="rId18" Type="http://schemas.openxmlformats.org/officeDocument/2006/relationships/image" Target="media/image7.gi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gif"/><Relationship Id="rId7" Type="http://schemas.openxmlformats.org/officeDocument/2006/relationships/hyperlink" Target="http://www.everythingbio.com/glos/definition.php?ID=1025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www.ausetute.com.au/indicata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hyperlink" Target="http://www.everythingbio.com/glos/definition.php?ID=2123" TargetMode="External"/><Relationship Id="rId11" Type="http://schemas.openxmlformats.org/officeDocument/2006/relationships/image" Target="media/image2.pn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10" Type="http://schemas.openxmlformats.org/officeDocument/2006/relationships/image" Target="media/image1.gif"/><Relationship Id="rId19" Type="http://schemas.openxmlformats.org/officeDocument/2006/relationships/image" Target="media/image8.gif"/><Relationship Id="rId4" Type="http://schemas.openxmlformats.org/officeDocument/2006/relationships/settings" Target="settings.xml"/><Relationship Id="rId9" Type="http://schemas.openxmlformats.org/officeDocument/2006/relationships/hyperlink" Target="http://www.everythingbio.com/glos/definition.php?ID=4168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C29E3-7220-4B81-BE5C-D00D378A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6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mwalonazi</dc:creator>
  <cp:keywords/>
  <dc:description/>
  <cp:lastModifiedBy>mwalonazi</cp:lastModifiedBy>
  <cp:revision>21</cp:revision>
  <cp:lastPrinted>2010-03-08T17:44:00Z</cp:lastPrinted>
  <dcterms:created xsi:type="dcterms:W3CDTF">2010-03-04T15:53:00Z</dcterms:created>
  <dcterms:modified xsi:type="dcterms:W3CDTF">2010-09-30T22:06:00Z</dcterms:modified>
</cp:coreProperties>
</file>