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10" w:rsidRPr="00285A62" w:rsidRDefault="004C0110" w:rsidP="004C0110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</w:pPr>
      <w:r w:rsidRPr="00285A62">
        <w:rPr>
          <w:rFonts w:ascii="Traditional Arabic" w:hAnsi="Traditional Arabic" w:cs="AL-Mateen"/>
          <w:b/>
          <w:bCs/>
          <w:color w:val="FF0000"/>
          <w:sz w:val="44"/>
          <w:szCs w:val="44"/>
          <w:rtl/>
        </w:rPr>
        <w:t>أسباب الاختلاف في تفسير السلف</w:t>
      </w:r>
    </w:p>
    <w:p w:rsidR="004C0110" w:rsidRPr="00285A62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وجود الاختلاف من طبائع البشر التي لا تنفك عنهم، وهو من قدر الله فيهم.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ففي ألسنتهم اختلاف، وفي ألوانهم، وفي عقائدهم، وفي أفكارهم </w:t>
      </w: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...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إلخ، والمقصود أن وقوع الاختلاف بين علماء الأمة ليس ذمّاً عليهم، إذ لا أحد من المجتمعات يسلم منه.</w:t>
      </w:r>
    </w:p>
    <w:p w:rsidR="004C0110" w:rsidRPr="00E054B9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وقد وقع الاختلاف في التفسير كما وقع في الأحكام، ولهذا الاختلاف أسباب أوجبته، وعلل أوجدته،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</w:t>
      </w:r>
      <w:r w:rsidRPr="00285A62">
        <w:rPr>
          <w:rFonts w:ascii="Traditional Arabic" w:hAnsi="Traditional Arabic" w:cs="AL-Mateen"/>
          <w:b/>
          <w:bCs/>
          <w:color w:val="00B0F0"/>
          <w:sz w:val="40"/>
          <w:szCs w:val="40"/>
          <w:rtl/>
        </w:rPr>
        <w:t>والأمر في الاختلاف في النص إذا كان معلوماً للمجتهدين يرجع إلى أحد شيئين: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الأول: اختلاف فهوم المجتهدين من العلماء.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الثاني: أن يكون النص محتملاً لأكثر من معنى.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إذاً فالخلاف منه ما يرجع إلى المجتهد، ومنه ما يرجع إلى النص.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والمؤلفات في أسباب الاختلاف في التفسير نادرة، وقد سرد بعض هذه الأسباب ابن جزي في مقدمة تفسيره، وقد أُلف في أسباب الاختلاف رسالة علمية بعنوان: «اختلاف المفسرين: أسبابه وآثاره»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 w:hint="cs"/>
          <w:b/>
          <w:bCs/>
          <w:color w:val="000000"/>
          <w:sz w:val="36"/>
          <w:szCs w:val="36"/>
          <w:vertAlign w:val="superscript"/>
          <w:rtl/>
        </w:rPr>
        <w:t>(</w:t>
      </w:r>
      <w:r w:rsidRPr="00D814E6">
        <w:rPr>
          <w:rStyle w:val="a4"/>
          <w:rFonts w:ascii="Traditional Arabic" w:hAnsi="Traditional Arabic" w:cs="AL-Mohanad Bold"/>
          <w:b/>
          <w:bCs/>
          <w:color w:val="000000"/>
          <w:sz w:val="36"/>
          <w:szCs w:val="36"/>
          <w:rtl/>
        </w:rPr>
        <w:footnoteReference w:id="1"/>
      </w:r>
      <w:r w:rsidRPr="00D814E6">
        <w:rPr>
          <w:rFonts w:ascii="Traditional Arabic" w:hAnsi="Traditional Arabic" w:cs="AL-Mohanad Bold" w:hint="cs"/>
          <w:b/>
          <w:bCs/>
          <w:color w:val="000000"/>
          <w:sz w:val="36"/>
          <w:szCs w:val="36"/>
          <w:vertAlign w:val="superscript"/>
          <w:rtl/>
        </w:rPr>
        <w:t>)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 xml:space="preserve"> </w:t>
      </w:r>
    </w:p>
    <w:p w:rsidR="007E43A8" w:rsidRDefault="007E43A8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7E43A8" w:rsidRDefault="007E43A8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7E43A8" w:rsidRDefault="007E43A8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lastRenderedPageBreak/>
        <w:t xml:space="preserve">ومن أسباب الاختلاف بين مفسري السلف </w:t>
      </w:r>
      <w:r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 xml:space="preserve">: </w:t>
      </w:r>
    </w:p>
    <w:p w:rsidR="00CF059F" w:rsidRPr="00D814E6" w:rsidRDefault="00CF059F" w:rsidP="00CF059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1 -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الاشتراك.</w:t>
      </w:r>
    </w:p>
    <w:p w:rsidR="00CF059F" w:rsidRPr="00D814E6" w:rsidRDefault="00CF059F" w:rsidP="00CF059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2 -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الاختلاف في مفسر الضمير.</w:t>
      </w:r>
    </w:p>
    <w:p w:rsidR="00CF059F" w:rsidRPr="00D814E6" w:rsidRDefault="00CF059F" w:rsidP="00CF059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3 -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أن يكون في الجملة حذف، ويحتمل في تقديره أكثر من معنى.</w:t>
      </w:r>
    </w:p>
    <w:p w:rsidR="00CF059F" w:rsidRPr="00D814E6" w:rsidRDefault="00CF059F" w:rsidP="00CF059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4 -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أن تحتمل اللفظة أكثر من تصريف في اللغة.</w:t>
      </w:r>
    </w:p>
    <w:p w:rsidR="00CF059F" w:rsidRPr="00D814E6" w:rsidRDefault="00CF059F" w:rsidP="00CF059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5 -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تنوع الاستعمال العربي للفظة.</w:t>
      </w:r>
    </w:p>
    <w:p w:rsidR="00CF059F" w:rsidRPr="00D814E6" w:rsidRDefault="00CF059F" w:rsidP="00CF059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6 -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أن يدور حكم الآية بين الأحكام والنسخ.</w:t>
      </w:r>
    </w:p>
    <w:p w:rsidR="00CF059F" w:rsidRPr="00D814E6" w:rsidRDefault="00CF059F" w:rsidP="00CF059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7 -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أن يدور حكم الآية بين العموم والخصوص.</w:t>
      </w:r>
    </w:p>
    <w:p w:rsidR="00CF059F" w:rsidRPr="00D814E6" w:rsidRDefault="00CF059F" w:rsidP="00CF059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8 -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أن يذكر الوصف المحتمل لأكثر من موصوف، ولا يحدد موصوفه في الآية.</w:t>
      </w:r>
    </w:p>
    <w:p w:rsidR="00CF059F" w:rsidRPr="00D814E6" w:rsidRDefault="00CF059F" w:rsidP="00CF059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9 -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أن يكون في الآية حرف له قراءتان لكل منهما تفسير مختلف.</w:t>
      </w:r>
    </w:p>
    <w:p w:rsidR="00CF059F" w:rsidRDefault="00CF059F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E054B9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1</w:t>
      </w:r>
      <w:r w:rsidRPr="00E054B9">
        <w:rPr>
          <w:rFonts w:ascii="Traditional Arabic" w:hAnsi="Traditional Arabic" w:cs="AL-Mateen"/>
          <w:b/>
          <w:bCs/>
          <w:color w:val="800000"/>
          <w:sz w:val="40"/>
          <w:szCs w:val="40"/>
          <w:rtl/>
        </w:rPr>
        <w:t xml:space="preserve"> - </w:t>
      </w: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highlight w:val="yellow"/>
          <w:rtl/>
        </w:rPr>
        <w:t>الاشتراك:</w:t>
      </w:r>
      <w:r w:rsidRPr="006110E2"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وهو اللفظ الدال على أكثر من معنى في لغة العرب.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والمشترك قد يكون من أحرف التضاد، وقد لا يكون.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وإذا كان من أحرف التضاد فقد يجوز حمل الآية على المعنيين المتضادين، ويكونان بمثابة التفسيرين للآية، </w:t>
      </w:r>
      <w:r w:rsidR="007E43A8"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ويكون هذا إذا اختلف المحل.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وقد يمتنع حمل الآية عليهما معاً: ويلزم من القول بأحدهما نفي الآخر.</w:t>
      </w:r>
    </w:p>
    <w:p w:rsidR="004C0110" w:rsidRPr="00D814E6" w:rsidRDefault="004C0110" w:rsidP="004C0110">
      <w:pPr>
        <w:keepNext/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وإليك الأمثلة:</w:t>
      </w:r>
      <w:r w:rsidRPr="00D814E6">
        <w:rPr>
          <w:rFonts w:ascii="Traditional Arabic" w:hAnsi="Traditional Arabic" w:cs="AL-Mohanad Bold" w:hint="cs"/>
          <w:b/>
          <w:bCs/>
          <w:color w:val="FF0000"/>
          <w:sz w:val="40"/>
          <w:szCs w:val="40"/>
          <w:rtl/>
        </w:rPr>
        <w:t xml:space="preserve"> </w:t>
      </w:r>
    </w:p>
    <w:p w:rsidR="004C0110" w:rsidRPr="00D814E6" w:rsidRDefault="004C0110" w:rsidP="004C0110">
      <w:pPr>
        <w:keepNext/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أـ </w:t>
      </w:r>
      <w:r w:rsidRPr="00D814E6">
        <w:rPr>
          <w:rFonts w:ascii="Traditional Arabic" w:hAnsi="Traditional Arabic" w:cs="AL-Mohanad Bold"/>
          <w:b/>
          <w:bCs/>
          <w:color w:val="0070C0"/>
          <w:sz w:val="40"/>
          <w:szCs w:val="40"/>
          <w:rtl/>
        </w:rPr>
        <w:t xml:space="preserve">من المشترك المتضاد الذي يجوز حمل الآية على معنييه المتضادين، ويكونان بمثابة التفسيرين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للآية لفظ {عَسْعَسَ} في قوله تعالى: {وَاللَّيْلِ إِذَا عَسْعَسَ} [التكوير: 17]، فقد فسر لفظ (عسعس) بأنه أقبل، وفسر بأنه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lastRenderedPageBreak/>
        <w:t xml:space="preserve">أدبر، وبالأول قال ابن عباس، وقتادة، وابن جبير؛ وبالثاني قال ابن عباس، وابن زيد 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>.</w:t>
      </w:r>
    </w:p>
    <w:p w:rsidR="004C0110" w:rsidRPr="00D814E6" w:rsidRDefault="004C0110" w:rsidP="004C0110">
      <w:pPr>
        <w:jc w:val="mediumKashida"/>
        <w:rPr>
          <w:rFonts w:cs="AL-Mohanad Bold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ومثل هذا يجوز حمل الآية على هذين المعنيين المتضادين، فيكون لفظ {عَسْعَسَ} دالاًّ على أن الإقسام مراد به أول الليل وآخره، فدل على هذين المعنيين بلفظة واحدة، ولو جاء بهما بلفظيهما لكان: (والليل إذا أقبل وأدبر).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70C0"/>
          <w:sz w:val="40"/>
          <w:szCs w:val="40"/>
          <w:rtl/>
        </w:rPr>
        <w:t xml:space="preserve">ب ـ ومن المشترك المتضاد الذي يمتنع حمل الآية على معنييه،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بل يلزم من القول بأحدهما نفي الآخر لفظة (قرء) في قوله تعالى: {وَالْمُطَلَّقَاتُ يَتَرَبَّصْنَ بِأَنْفُسِهِنَّ ثَلاَثَةَ قُرُوءٍ} [البقرة: 228]، فقد ورد في لغة العرب بمعنى: الطهر، وبمعنى: الحيض.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70C0"/>
          <w:sz w:val="40"/>
          <w:szCs w:val="40"/>
          <w:rtl/>
        </w:rPr>
        <w:t xml:space="preserve">روي المعنى الأول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عن زيد بن ثابت وابن عمر وعائشة والزهري. 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70C0"/>
          <w:sz w:val="40"/>
          <w:szCs w:val="40"/>
          <w:rtl/>
        </w:rPr>
        <w:t xml:space="preserve">وروي المعنى الثاني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عن عمر، وعلي، وابن مسعود، وأبي موسى، وعبادة بن الصامت، وأبي الدرداء، وعكرمة، والضحاك، وسفيان الثوري، والسدي 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>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70C0"/>
          <w:sz w:val="40"/>
          <w:szCs w:val="40"/>
          <w:rtl/>
        </w:rPr>
        <w:t xml:space="preserve">وفي هذا المثال يمتنع حمل الآية على المعنيين معاً؛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لأن القول بأحدهما يستلزم نفي الآخر، فالمطلوب من المرأة أن تتربص؛ إما ثلاثة أطهار، وإمَّا ثلاث حيض.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70C0"/>
          <w:sz w:val="40"/>
          <w:szCs w:val="40"/>
          <w:rtl/>
        </w:rPr>
        <w:t xml:space="preserve">جـ ومن المشترك الذي ليس من أحرف التضاد ـ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وهو كثير ـ لفظ (العتيق) من قوله تعالى: {وَلْيَطَّوَّفُوا بِالْبَيْتِ الْعَتِيقِ} [الحج: 29]، فقيل: العتيق بمعنى: القديم، وهو قول الحسن، وابن زيد.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وقيل: العتيق المعتق من الجبابرة، بمعنى: أنه محرر لا يملكه أحد، وبه قال مجاهد، وقتادة، وابن الزبير ، وهذا مما يجوز حمل الآية على معنييه.</w:t>
      </w:r>
    </w:p>
    <w:p w:rsidR="004C0110" w:rsidRPr="00E054B9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70C0"/>
          <w:sz w:val="40"/>
          <w:szCs w:val="40"/>
          <w:rtl/>
        </w:rPr>
        <w:lastRenderedPageBreak/>
        <w:t xml:space="preserve">والاشتراك قد يكون في الأسماء؛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كقسورة: للأسد والرامي. والصريم: للنهار والليل. وقد يكون في الأفعال؛ كظن: للشك واليقين</w:t>
      </w:r>
      <w:r w:rsidRPr="00E054B9">
        <w:rPr>
          <w:rFonts w:ascii="Traditional Arabic" w:hAnsi="Traditional Arabic" w:cs="AL-Mateen"/>
          <w:b/>
          <w:bCs/>
          <w:color w:val="000000"/>
          <w:sz w:val="40"/>
          <w:szCs w:val="40"/>
          <w:rtl/>
        </w:rPr>
        <w:t>.</w:t>
      </w:r>
    </w:p>
    <w:p w:rsidR="004C0110" w:rsidRPr="00E054B9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highlight w:val="yellow"/>
          <w:rtl/>
        </w:rPr>
        <w:t>2 - الاختلاف في مفسر الضمير،</w:t>
      </w: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وهو أنواع: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الأول: أن يكون في الآية ضمير يحتمل عوده إلى أكثر من مذكور.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ومثاله قوله تعالى: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{</w:t>
      </w:r>
      <w:proofErr w:type="spellStart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يَاأَيُّهَا</w:t>
      </w:r>
      <w:proofErr w:type="spellEnd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الإِنْسَانُ إِنَّكَ كَادِحٌ إِلَى رَبِّكَ كَدْحًا فَمُلاَقِيهِ} [الانشقاق: 6].قيل: تلاقي </w:t>
      </w:r>
      <w:proofErr w:type="spellStart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ربك.وقيل</w:t>
      </w:r>
      <w:proofErr w:type="spellEnd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: تلاقي عملك 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>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>وكلاهما صحيح محتمل؛ لأن الإنسان سيلاقي ربه، وعمله.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ومثله قوله تعالى: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{وَإِنَّهُ عَلَى ذَلِكَ لَشَهِيدٌ} [العاديات: 7] ففي مرجع هاء الكناية قولان: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القول الأول: أن مرجعها إلى الله، وبه قال ابن عباس، وابن جريج.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القول الثاني: أن مرجعها إلى الإنسان الكنود، روي هذا عن ابن عباس. [65]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 xml:space="preserve">الثاني: أن يكون في الآية ضميران، وكل واحد منهما يرجع إلى مرجع لا يرجع إليه الآخر،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فيكون للآية أكثر من معنى، فينص كل واحد من المفسرين على أحد هذه </w:t>
      </w:r>
      <w:r w:rsidR="007E43A8"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المعاني.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مثاله: قوله تعالى: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{إِلَيْهِ يَصْعَدُ الْكَلِمُ الطَّيِّبُ وَالْعَمَلُ الصَّالِحُ يَرْفَعُهُ} [فاطر: 10].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ففي قوله: «يرفعه» ضميران، وكل واحد منهما يرجع إلى مرجع لا يرجع إليه الآخر: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الأول: الضمير الظاهر، وهو الهاء،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وهو في محل نصب مفعول به، ويعود على الكلم الطيب، ويكون المعنى: والعمل الصالح يرفع الكلم الطيب.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ohanad Bold"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lastRenderedPageBreak/>
        <w:t xml:space="preserve">الثاني: الضمير المستتر، وهو في محل رفع فاعل،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يعود على الله سبحانه، ويكون المعنى: والعمل الصالح يرفعه الله، وبه قال قتادة، والسدي.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ويحتمل عوده كذلك إلى الكلم الطيب، ويكون المعنى: والعمل الصالح يرفعه الكلم الطيب، وبهذا يكون معاكساً للقول الأول، وبه قال الحسن، ويحيى بن سلام 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>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</w:p>
    <w:p w:rsidR="004C0110" w:rsidRPr="006110E2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110E2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3 - أن يكون في الجملة حذف: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ويحتمل في تقديره أكثر من معنى، فيذكر كل واحد أحد المعاني المحتملة.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ومثاله: قوله تعالى: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{وَتَرْغَبُونَ أَنْ تَنْكِحُوهُنَّ} [النساء: 127].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ففي متعلق «ترغبون» تقديران: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الأول: ترغبون في نكاحهن، وهذا قول عائشة وعبيدة. [66]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الثاني: ترغب</w:t>
      </w:r>
      <w:r w:rsidR="006C420F"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ون عن نكاحهن، وهذا قول الحسن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ففي الأول: صارت الرغبة في زواجهن، وفي الثاني: صِرْنَ غير مرغوب فيهن.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ومثله: قوله تعالى: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{وَأَضَلَّهُ اللَّهُ عَلَى عِلْمٍ} [الجاثية: 23] قيل في مرجع علم قولان: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الأول: على علم من العبد بضلاله، وهذا قول مقاتل.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الثاني: على علم من الل</w:t>
      </w:r>
      <w:r w:rsidR="006C420F"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ه بضلاله، وهذا قول ابن عباس</w:t>
      </w:r>
      <w:r w:rsidR="006C420F"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>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</w:p>
    <w:p w:rsidR="004C0110" w:rsidRPr="00670875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4 - أن تحتمل اللفظة أكثر من تصريف في اللغة: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ويحمل كل واحد من المفسرين الآية على أحد التصريفات.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lastRenderedPageBreak/>
        <w:t xml:space="preserve">ومثاله: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لفظة {يُضَآرَّ} في قوله تعالى: {وَلاَ يُضَآرَّ كَاتِبٌ وَلاَ شَهِيدٌ} [البقرة: 282].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فتصريف لفظة {يُضَآرَّ} تحتمل أن تكون (</w:t>
      </w:r>
      <w:proofErr w:type="spellStart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يُضارَر</w:t>
      </w:r>
      <w:proofErr w:type="spellEnd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)، وتحتمل أن تكون (</w:t>
      </w:r>
      <w:proofErr w:type="spellStart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يضارِر</w:t>
      </w:r>
      <w:proofErr w:type="spellEnd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) فعلى الاحتمال الأول يكون النهي واقعاً على أن يُضر بالكاتب أو الشهيد؛ أي: أن الضرر يقع على الكاتب والشهيد، وهذا قول ابن عباس، ومجاهد، وعطاء، وعكرمة، والضحاك، والسدي، والربيع.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وعلى الاحتمال الثاني: يكون النهي واقعاً على أن يَضرَّ الكاتب والشهيد؛ أي: أن الضرر يقع من الكاتب والشهيد، وهذا قول </w:t>
      </w:r>
      <w:proofErr w:type="spellStart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طاوس</w:t>
      </w:r>
      <w:proofErr w:type="spellEnd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، والحسن، وقتادة 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>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ومثله: قوله تعالى: {لاَ تُضَآرَّ وَالِدَةٌ بِوَلَدِهَا وَلاَ مَوْلُودٌ لَهُ بِوَلَدِهِ} [البقرة: 233].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5 - تنوع الاستعمال العربي للفظة في إرادة المعاني القريبة والمعاني البعيدة: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فيحمل بعضهم اللفظة على المعنى القريب الظاهر، ويحمله آخرون على المعنى البعيد، وهذا النوع قريب من المشترك.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ومثاله: قوله تعالى: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{وَثِيَابَكَ فَطَهِّرْ} [المدثر: 4].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من المفسرين من فسر الثياب بالمعروف المتبادر، وروي هذا عن ابن عباس، </w:t>
      </w:r>
      <w:proofErr w:type="spellStart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وطاوس</w:t>
      </w:r>
      <w:proofErr w:type="spellEnd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،  وابن سيرين، وابن زيد.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ومنهم من فسر الثياب بالنفس، وهذا المعنى بعيد غير متبادر، وهو مروي عن مجاهد وقتادة.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ohanad Bold"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lastRenderedPageBreak/>
        <w:t>مثال آخر:</w:t>
      </w:r>
      <w:r w:rsidRPr="00D814E6">
        <w:rPr>
          <w:rFonts w:ascii="Traditional Arabic" w:hAnsi="Traditional Arabic" w:cs="AL-Mohanad Bold" w:hint="cs"/>
          <w:b/>
          <w:bCs/>
          <w:color w:val="00B0F0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في قوله تعالى: {وَلَوْلاَ رَهْطُكَ لَرَجَمْنَاكَ} [هود: 91] في قصة شعيب، قيل في المراد بالرجم قولان: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لأول: لرجمناك بالحجارة.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الثاني: لرجمناك بالسب، والشتم.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والأول هو المعنى القريب المتبادر للذهن، قال ابن عطية: وهو الظاهر 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>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والثاني، وإن كان محتملاً إلا أنه أبعد من الأول.</w:t>
      </w:r>
    </w:p>
    <w:p w:rsidR="004C0110" w:rsidRPr="00E054B9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</w:p>
    <w:p w:rsidR="004C0110" w:rsidRPr="00670875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6 - أن يدور حكم الآية بين الإحكام والنسخ: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فيحكم بعضهم بالنسخ، ويحكم الآخر بالإحكام.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ومثاله: قوله تعالى: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{وَلاَ تَنْكِحُوا الْمُشْرِكَاتِ حَتَّى يُؤْمِنَّ} [البقرة: 221].</w:t>
      </w:r>
    </w:p>
    <w:p w:rsidR="004C0110" w:rsidRPr="00D814E6" w:rsidRDefault="004C0110" w:rsidP="006C420F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قيل: هي منسوخة بقوله تعالى: {وَالْمُحْصَنَاتُ مِنَ الَّذِينَ أُ</w:t>
      </w:r>
      <w:r w:rsidR="006C420F"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وتُوا الْكِتَابَ} [المائدة: 5].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وهذا مروي عن الحسن، وعكرمة، والزهري.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وقيل: هي محكمة لا نسخ فيها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>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ومثله: قوله تعالى: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{وَيَسْأَلُونَكَ مَاذَا يُنْفِقُونَ قُلِ الْعَفْوَ} [البقرة: 219].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قيل: هي منسوخة بآية الزكاة، وهذا مروي عن السدي؛ لأنه يرى أنه فرض نزل قبل الزكاة، فنسخ بالزكاة.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ohanad Bold"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وقيل: هي محكمة، وهي في الصدقة العامة المندوب إليها، وهذا مروي عن ابن عباس، ومقاتل بن حيان 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>.</w:t>
      </w:r>
    </w:p>
    <w:p w:rsidR="004C0110" w:rsidRPr="00670875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7 - أن يدور حكم الآية بين العموم والخصوص: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ومثاله: قوله تعالى: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{وَلاَ تَنْكِحُوا الْمُشْرِكَاتِ حَتَّى يُؤْمِنَّ} [البقرة: 221].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lastRenderedPageBreak/>
        <w:t>قيل: هذه الآية حكمها عام، ثم خصَّصها قوله تعالى: {وَالْمُحْصَنَاتُ مِنَ الَّذِينَ أُوتُوا الْكِتَابَ} [المائدة: 5]، هذا مروي عن عثمان، وحذيفة، وجابر، وابن عباس، وقتادة، وابن جبير.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وقيل: إنها ليست مخصَّصة، بل المشركات هنَّ عابدات الأوثان من العرب وغيرهم ممن ليس لهم كتاب، وهذا مروي عن قتادة، وسعيد بن جبير (2).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</w:p>
    <w:p w:rsidR="004C0110" w:rsidRPr="00670875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>8 - أن يذكر الوصف المحتمل لأكثر من موصوف:</w:t>
      </w:r>
    </w:p>
    <w:p w:rsidR="004C0110" w:rsidRPr="00D814E6" w:rsidRDefault="004C0110" w:rsidP="006C420F">
      <w:pPr>
        <w:jc w:val="mediumKashida"/>
        <w:rPr>
          <w:rFonts w:cs="AL-Mohanad Bold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ولا يحدد موصوفه في الآية، فيحمل كل مفسر هذا الوصف على ما يحتمله من </w:t>
      </w:r>
      <w:proofErr w:type="spellStart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الموصوفات.وهذا</w:t>
      </w:r>
      <w:proofErr w:type="spellEnd"/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النوع قريب من الذي قبله، بل هو باب منه ، </w:t>
      </w: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>ومن أمثلته: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قوله تعالى: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{وَالنَّازِعَاتِ غَرْقًا *وَالنَّاشِطَاتِ نَشْطًا} [النازعات: 1، 2].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قيل في هذه الأوصاف: هي للملائكة، وقيل: للأنجم، وقيل: للموت </w:t>
      </w: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...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إلخ.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ومثله: {وَالذَّارِيَاتِ} [الذاريات: 1]، ومثله: {</w:t>
      </w:r>
      <w:r w:rsidRPr="00D814E6"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  <w:t>...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 بِالْخُنَّسِ} [التكوير: 15].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FF0000"/>
          <w:sz w:val="40"/>
          <w:szCs w:val="40"/>
          <w:rtl/>
        </w:rPr>
      </w:pPr>
    </w:p>
    <w:p w:rsidR="004C0110" w:rsidRPr="00670875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</w:pPr>
      <w:r w:rsidRPr="00670875">
        <w:rPr>
          <w:rFonts w:ascii="Traditional Arabic" w:hAnsi="Traditional Arabic" w:cs="AL-Mateen"/>
          <w:b/>
          <w:bCs/>
          <w:color w:val="FF0000"/>
          <w:sz w:val="40"/>
          <w:szCs w:val="40"/>
          <w:rtl/>
        </w:rPr>
        <w:t xml:space="preserve">9 - أن يكون في الآية حرف له قراءتان </w:t>
      </w:r>
      <w:r w:rsidRPr="00670875">
        <w:rPr>
          <w:rFonts w:ascii="Traditional Arabic" w:hAnsi="Traditional Arabic" w:cs="AL-Mateen" w:hint="cs"/>
          <w:b/>
          <w:bCs/>
          <w:color w:val="FF0000"/>
          <w:sz w:val="40"/>
          <w:szCs w:val="40"/>
          <w:rtl/>
        </w:rPr>
        <w:t>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فيفسر أحدهم إحدى القراءتين؛ ويفسر الآخر الأخرى، فيختلف التأويل.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B0F0"/>
          <w:sz w:val="40"/>
          <w:szCs w:val="40"/>
          <w:rtl/>
        </w:rPr>
        <w:t xml:space="preserve">ومثاله: قوله تعالى: {وَمَا هُوَ عَلَى الْغَيْبِ بِضَنِينٍ} </w:t>
      </w: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[التكوير: 24]، ففي قوله تعالى: (ضَنِينٍ) قراءتان:</w:t>
      </w:r>
    </w:p>
    <w:p w:rsidR="004C0110" w:rsidRPr="00D814E6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>الأولى: بالضاد، ويكون المعنى: «ما هو ببخيل».</w:t>
      </w:r>
    </w:p>
    <w:p w:rsidR="004C0110" w:rsidRPr="00D814E6" w:rsidRDefault="004C0110" w:rsidP="004C0110">
      <w:pPr>
        <w:jc w:val="mediumKashida"/>
        <w:rPr>
          <w:rFonts w:cs="AL-Mohanad Bold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lastRenderedPageBreak/>
        <w:t>الثانية: بالظاء، ويكون المعنى: «وما هم بمتهم».</w:t>
      </w:r>
    </w:p>
    <w:p w:rsidR="004C0110" w:rsidRDefault="004C0110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ohanad Bold" w:hint="cs"/>
          <w:sz w:val="40"/>
          <w:szCs w:val="40"/>
          <w:rtl/>
        </w:rPr>
      </w:pPr>
      <w:r w:rsidRPr="00D814E6">
        <w:rPr>
          <w:rFonts w:ascii="Traditional Arabic" w:hAnsi="Traditional Arabic" w:cs="AL-Mohanad Bold"/>
          <w:b/>
          <w:bCs/>
          <w:color w:val="000000"/>
          <w:sz w:val="40"/>
          <w:szCs w:val="40"/>
          <w:rtl/>
        </w:rPr>
        <w:t xml:space="preserve">هذه بعض أسباب الاختلاف التي </w:t>
      </w:r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 xml:space="preserve">ذكرها </w:t>
      </w:r>
      <w:proofErr w:type="spellStart"/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>د.مساعد</w:t>
      </w:r>
      <w:proofErr w:type="spellEnd"/>
      <w:r w:rsidRPr="00D814E6">
        <w:rPr>
          <w:rFonts w:ascii="Traditional Arabic" w:hAnsi="Traditional Arabic" w:cs="AL-Mohanad Bold" w:hint="cs"/>
          <w:b/>
          <w:bCs/>
          <w:color w:val="000000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 w:hint="cs"/>
          <w:b/>
          <w:bCs/>
          <w:sz w:val="40"/>
          <w:szCs w:val="40"/>
          <w:rtl/>
        </w:rPr>
        <w:t>الطيار</w:t>
      </w:r>
      <w:r w:rsidRPr="00D814E6">
        <w:rPr>
          <w:rFonts w:ascii="Traditional Arabic" w:hAnsi="Traditional Arabic" w:cs="AL-Mohanad Bold"/>
          <w:b/>
          <w:bCs/>
          <w:sz w:val="40"/>
          <w:szCs w:val="40"/>
          <w:rtl/>
        </w:rPr>
        <w:t xml:space="preserve"> </w:t>
      </w:r>
      <w:r w:rsidRPr="00D814E6">
        <w:rPr>
          <w:rFonts w:ascii="Simplified Arabic" w:hAnsi="Simplified Arabic" w:cs="AL-Mohanad Bold" w:hint="cs"/>
          <w:sz w:val="40"/>
          <w:szCs w:val="40"/>
          <w:rtl/>
        </w:rPr>
        <w:t xml:space="preserve"> في كتابه فصول في اصول التفسير</w:t>
      </w:r>
      <w:r w:rsidRPr="00D814E6">
        <w:rPr>
          <w:rFonts w:ascii="Simplified Arabic" w:hAnsi="Simplified Arabic" w:cs="AL-Mohanad Bold"/>
          <w:sz w:val="40"/>
          <w:szCs w:val="40"/>
          <w:rtl/>
        </w:rPr>
        <w:t xml:space="preserve"> </w:t>
      </w:r>
      <w:r w:rsidRPr="00D814E6">
        <w:rPr>
          <w:rFonts w:ascii="Simplified Arabic" w:hAnsi="Simplified Arabic" w:cs="AL-Mohanad Bold" w:hint="cs"/>
          <w:sz w:val="40"/>
          <w:szCs w:val="40"/>
          <w:rtl/>
        </w:rPr>
        <w:t xml:space="preserve"> </w:t>
      </w:r>
      <w:r w:rsidRPr="00D814E6">
        <w:rPr>
          <w:rFonts w:ascii="Traditional Arabic" w:hAnsi="Traditional Arabic" w:cs="AL-Mohanad Bold" w:hint="cs"/>
          <w:sz w:val="36"/>
          <w:szCs w:val="36"/>
          <w:vertAlign w:val="superscript"/>
          <w:rtl/>
        </w:rPr>
        <w:t>(</w:t>
      </w:r>
      <w:r w:rsidRPr="00D814E6">
        <w:rPr>
          <w:rStyle w:val="a4"/>
          <w:rFonts w:ascii="Traditional Arabic" w:hAnsi="Traditional Arabic" w:cs="AL-Mohanad Bold"/>
          <w:sz w:val="36"/>
          <w:szCs w:val="36"/>
          <w:rtl/>
        </w:rPr>
        <w:footnoteReference w:id="2"/>
      </w:r>
      <w:r w:rsidRPr="00D814E6">
        <w:rPr>
          <w:rFonts w:ascii="Traditional Arabic" w:hAnsi="Traditional Arabic" w:cs="AL-Mohanad Bold" w:hint="cs"/>
          <w:sz w:val="36"/>
          <w:szCs w:val="36"/>
          <w:vertAlign w:val="superscript"/>
          <w:rtl/>
        </w:rPr>
        <w:t>)</w:t>
      </w:r>
      <w:r w:rsidRPr="00D814E6">
        <w:rPr>
          <w:rFonts w:ascii="Simplified Arabic" w:hAnsi="Simplified Arabic" w:cs="AL-Mohanad Bold"/>
          <w:sz w:val="40"/>
          <w:szCs w:val="40"/>
          <w:rtl/>
        </w:rPr>
        <w:t>.</w:t>
      </w:r>
    </w:p>
    <w:p w:rsidR="00D814E6" w:rsidRDefault="00D814E6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ohanad Bold" w:hint="cs"/>
          <w:sz w:val="40"/>
          <w:szCs w:val="40"/>
          <w:rtl/>
        </w:rPr>
      </w:pPr>
    </w:p>
    <w:p w:rsidR="00D814E6" w:rsidRDefault="00D814E6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ohanad Bold" w:hint="cs"/>
          <w:sz w:val="40"/>
          <w:szCs w:val="40"/>
          <w:rtl/>
        </w:rPr>
      </w:pPr>
    </w:p>
    <w:p w:rsidR="00D814E6" w:rsidRPr="00D814E6" w:rsidRDefault="00D814E6" w:rsidP="00D814E6">
      <w:pPr>
        <w:autoSpaceDE w:val="0"/>
        <w:autoSpaceDN w:val="0"/>
        <w:adjustRightInd w:val="0"/>
        <w:spacing w:after="0" w:line="240" w:lineRule="auto"/>
        <w:jc w:val="center"/>
        <w:rPr>
          <w:rFonts w:ascii="Simplified Arabic" w:hAnsi="Simplified Arabic" w:cs="AL-Mohanad Bold"/>
          <w:sz w:val="40"/>
          <w:szCs w:val="40"/>
          <w:rtl/>
        </w:rPr>
      </w:pPr>
      <w:r>
        <w:rPr>
          <w:rFonts w:ascii="Simplified Arabic" w:hAnsi="Simplified Arabic" w:cs="AL-Mohanad Bold" w:hint="cs"/>
          <w:sz w:val="40"/>
          <w:szCs w:val="40"/>
          <w:rtl/>
        </w:rPr>
        <w:t>...........................................</w:t>
      </w:r>
      <w:bookmarkStart w:id="0" w:name="_GoBack"/>
      <w:bookmarkEnd w:id="0"/>
    </w:p>
    <w:p w:rsidR="004C0110" w:rsidRPr="00D814E6" w:rsidRDefault="004C0110">
      <w:pPr>
        <w:rPr>
          <w:rFonts w:cs="AL-Mohanad Bold"/>
          <w:sz w:val="40"/>
          <w:szCs w:val="40"/>
        </w:rPr>
      </w:pPr>
    </w:p>
    <w:sectPr w:rsidR="004C0110" w:rsidRPr="00D814E6" w:rsidSect="00B93439">
      <w:pgSz w:w="11906" w:h="16838"/>
      <w:pgMar w:top="1440" w:right="1080" w:bottom="1440" w:left="108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EE5" w:rsidRDefault="00097EE5" w:rsidP="004C0110">
      <w:pPr>
        <w:spacing w:after="0" w:line="240" w:lineRule="auto"/>
      </w:pPr>
      <w:r>
        <w:separator/>
      </w:r>
    </w:p>
  </w:endnote>
  <w:endnote w:type="continuationSeparator" w:id="0">
    <w:p w:rsidR="00097EE5" w:rsidRDefault="00097EE5" w:rsidP="004C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EE5" w:rsidRDefault="00097EE5" w:rsidP="004C0110">
      <w:pPr>
        <w:spacing w:after="0" w:line="240" w:lineRule="auto"/>
      </w:pPr>
      <w:r>
        <w:separator/>
      </w:r>
    </w:p>
  </w:footnote>
  <w:footnote w:type="continuationSeparator" w:id="0">
    <w:p w:rsidR="00097EE5" w:rsidRDefault="00097EE5" w:rsidP="004C0110">
      <w:pPr>
        <w:spacing w:after="0" w:line="240" w:lineRule="auto"/>
      </w:pPr>
      <w:r>
        <w:continuationSeparator/>
      </w:r>
    </w:p>
  </w:footnote>
  <w:footnote w:id="1">
    <w:p w:rsidR="00186B83" w:rsidRPr="00285A62" w:rsidRDefault="00186B83" w:rsidP="004C0110">
      <w:pPr>
        <w:autoSpaceDE w:val="0"/>
        <w:autoSpaceDN w:val="0"/>
        <w:adjustRightInd w:val="0"/>
        <w:spacing w:after="0" w:line="240" w:lineRule="auto"/>
        <w:jc w:val="mediumKashida"/>
        <w:rPr>
          <w:rFonts w:ascii="Simplified Arabic" w:hAnsi="Simplified Arabic" w:cs="AL-Mateen"/>
          <w:color w:val="FF0000"/>
          <w:sz w:val="24"/>
          <w:szCs w:val="24"/>
          <w:rtl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4"/>
          <w:rFonts w:cs="AL-Mateen"/>
          <w:sz w:val="24"/>
          <w:szCs w:val="24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Pr="00285A62">
        <w:rPr>
          <w:rFonts w:ascii="Traditional Arabic" w:hAnsi="Traditional Arabic" w:cs="AL-Mateen"/>
          <w:b/>
          <w:bCs/>
          <w:color w:val="000000"/>
          <w:sz w:val="24"/>
          <w:szCs w:val="24"/>
          <w:rtl/>
        </w:rPr>
        <w:t>ويمكن الاستفادة في هذا الموضوع ممّا كتب في أسباب اختلاف العلماء من حيث العموم، ومن أهمها رسالة ابن السيد البطليوسي، التي سمَّاها: «الإنصاف في التنبيه على المعاني والأسباب التي أوجبت الاختلاف بين المسلمين في آرائهم».</w:t>
      </w:r>
    </w:p>
    <w:p w:rsidR="00186B83" w:rsidRPr="00026F7D" w:rsidRDefault="00186B83" w:rsidP="004C0110">
      <w:pPr>
        <w:pStyle w:val="a3"/>
        <w:rPr>
          <w:rFonts w:cs="AL-Mateen"/>
          <w:sz w:val="24"/>
          <w:szCs w:val="24"/>
        </w:rPr>
      </w:pPr>
    </w:p>
  </w:footnote>
  <w:footnote w:id="2">
    <w:p w:rsidR="00186B83" w:rsidRPr="00026F7D" w:rsidRDefault="00186B83" w:rsidP="004C0110">
      <w:pPr>
        <w:pStyle w:val="a3"/>
        <w:rPr>
          <w:rFonts w:cs="AL-Mateen"/>
          <w:sz w:val="24"/>
          <w:szCs w:val="24"/>
        </w:rPr>
      </w:pPr>
      <w:r w:rsidRPr="00026F7D">
        <w:rPr>
          <w:rFonts w:cs="AL-Mateen" w:hint="cs"/>
          <w:sz w:val="24"/>
          <w:szCs w:val="24"/>
          <w:rtl/>
        </w:rPr>
        <w:t>(</w:t>
      </w:r>
      <w:r w:rsidRPr="00026F7D">
        <w:rPr>
          <w:rStyle w:val="a4"/>
          <w:rFonts w:cs="AL-Mateen"/>
          <w:sz w:val="24"/>
          <w:szCs w:val="24"/>
        </w:rPr>
        <w:footnoteRef/>
      </w:r>
      <w:r w:rsidRPr="00026F7D">
        <w:rPr>
          <w:rFonts w:cs="AL-Mateen" w:hint="cs"/>
          <w:sz w:val="24"/>
          <w:szCs w:val="24"/>
          <w:rtl/>
        </w:rPr>
        <w:t xml:space="preserve">)  </w:t>
      </w:r>
      <w:r>
        <w:rPr>
          <w:rFonts w:cs="AL-Mateen" w:hint="cs"/>
          <w:sz w:val="24"/>
          <w:szCs w:val="24"/>
          <w:rtl/>
        </w:rPr>
        <w:t xml:space="preserve"> </w:t>
      </w:r>
      <w:r w:rsidRPr="00670875">
        <w:rPr>
          <w:rFonts w:ascii="Simplified Arabic" w:hAnsi="Simplified Arabic" w:cs="AL-Mateen"/>
          <w:color w:val="000000"/>
          <w:sz w:val="24"/>
          <w:szCs w:val="24"/>
          <w:rtl/>
        </w:rPr>
        <w:t>ظهر أخيراً كتاب «أسباب اختلاف المفسرين» للدكتور محمد الشايع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10"/>
    <w:rsid w:val="00097EE5"/>
    <w:rsid w:val="001117DD"/>
    <w:rsid w:val="00186B83"/>
    <w:rsid w:val="004C0110"/>
    <w:rsid w:val="006C420F"/>
    <w:rsid w:val="007223B0"/>
    <w:rsid w:val="007E43A8"/>
    <w:rsid w:val="00807096"/>
    <w:rsid w:val="00B75584"/>
    <w:rsid w:val="00B93439"/>
    <w:rsid w:val="00C12D54"/>
    <w:rsid w:val="00CF059F"/>
    <w:rsid w:val="00D814E6"/>
    <w:rsid w:val="00DA144E"/>
    <w:rsid w:val="00D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4C011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4C0110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4C01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4C0110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4C0110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4C01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2015-10-15T17:55:00Z</dcterms:created>
  <dcterms:modified xsi:type="dcterms:W3CDTF">2015-10-15T17:55:00Z</dcterms:modified>
</cp:coreProperties>
</file>