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2F" w:rsidRPr="00303A9F" w:rsidRDefault="00DF602F" w:rsidP="00DF602F">
      <w:pPr>
        <w:bidi w:val="0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</w:rPr>
      </w:pPr>
      <w:r w:rsidRPr="00303A9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</w:rPr>
        <w:t>Human Immunity against Parasites:</w:t>
      </w:r>
      <w:bookmarkStart w:id="0" w:name="_GoBack"/>
      <w:bookmarkEnd w:id="0"/>
    </w:p>
    <w:p w:rsidR="00DF602F" w:rsidRPr="00303A9F" w:rsidRDefault="00DF602F" w:rsidP="00303A9F">
      <w:pPr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 w:rsidRPr="00303A9F">
        <w:rPr>
          <w:rFonts w:ascii="Times New Roman" w:hAnsi="Times New Roman" w:cs="Times New Roman"/>
          <w:sz w:val="28"/>
          <w:szCs w:val="28"/>
        </w:rPr>
        <w:t xml:space="preserve">Its intensity and specificity are usually at a lower level than those produced by bacteria and viruses. </w:t>
      </w:r>
    </w:p>
    <w:p w:rsidR="00DF602F" w:rsidRPr="00303A9F" w:rsidRDefault="00DF602F" w:rsidP="00303A9F">
      <w:pPr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303A9F">
        <w:rPr>
          <w:rFonts w:ascii="Times New Roman" w:hAnsi="Times New Roman" w:cs="Times New Roman"/>
          <w:sz w:val="28"/>
          <w:szCs w:val="28"/>
        </w:rPr>
        <w:t xml:space="preserve">Mostly refers to ''non-sterilizing immunity''. </w:t>
      </w:r>
    </w:p>
    <w:p w:rsidR="00DF602F" w:rsidRDefault="00DF602F" w:rsidP="00303A9F">
      <w:pPr>
        <w:pStyle w:val="ListParagraph"/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 w:rsidRPr="00303A9F">
        <w:rPr>
          <w:rFonts w:ascii="Times New Roman" w:hAnsi="Times New Roman" w:cs="Times New Roman"/>
          <w:sz w:val="28"/>
          <w:szCs w:val="28"/>
        </w:rPr>
        <w:t>The host may be protected from superinfection as long as the adult parasites remain in the body. This situation is known as ''premonition'' or</w:t>
      </w:r>
      <w:r w:rsidRPr="0096692C">
        <w:rPr>
          <w:rFonts w:ascii="Times New Roman" w:eastAsia="SimSun" w:hAnsi="Times New Roman" w:cs="Times New Roman"/>
          <w:b/>
          <w:bCs/>
          <w:color w:val="FF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6692C">
        <w:rPr>
          <w:rFonts w:ascii="Times New Roman" w:eastAsia="SimSun" w:hAnsi="Times New Roman" w:cs="Times New Roman"/>
          <w:color w:val="FF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A9F">
        <w:rPr>
          <w:rFonts w:ascii="Times New Roman" w:hAnsi="Times New Roman" w:cs="Times New Roman"/>
          <w:sz w:val="28"/>
          <w:szCs w:val="28"/>
        </w:rPr>
        <w:t xml:space="preserve">''concomitant immunity''. This may be of great importance in endemic areas in limiting the severity of infection with </w:t>
      </w:r>
      <w:r w:rsidRPr="00303A9F">
        <w:rPr>
          <w:rFonts w:ascii="Times New Roman" w:hAnsi="Times New Roman" w:cs="Times New Roman"/>
          <w:i/>
          <w:iCs/>
          <w:sz w:val="28"/>
          <w:szCs w:val="28"/>
        </w:rPr>
        <w:t>Plasmodium,</w:t>
      </w:r>
      <w:r w:rsidRPr="00303A9F">
        <w:rPr>
          <w:rFonts w:ascii="Times New Roman" w:hAnsi="Times New Roman" w:cs="Times New Roman"/>
          <w:sz w:val="28"/>
          <w:szCs w:val="28"/>
        </w:rPr>
        <w:t xml:space="preserve"> </w:t>
      </w:r>
      <w:r w:rsidRPr="00303A9F">
        <w:rPr>
          <w:rFonts w:ascii="Times New Roman" w:hAnsi="Times New Roman" w:cs="Times New Roman"/>
          <w:i/>
          <w:iCs/>
          <w:sz w:val="28"/>
          <w:szCs w:val="28"/>
        </w:rPr>
        <w:t>Schistosoma</w:t>
      </w:r>
      <w:r w:rsidRPr="00303A9F">
        <w:rPr>
          <w:rFonts w:ascii="Times New Roman" w:hAnsi="Times New Roman" w:cs="Times New Roman"/>
          <w:sz w:val="28"/>
          <w:szCs w:val="28"/>
        </w:rPr>
        <w:t>, hookworms and other parasites.</w:t>
      </w:r>
    </w:p>
    <w:p w:rsidR="00303A9F" w:rsidRPr="00303A9F" w:rsidRDefault="00303A9F" w:rsidP="00303A9F">
      <w:pPr>
        <w:pStyle w:val="ListParagraph"/>
        <w:bidi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3A9F" w:rsidRPr="00303A9F" w:rsidRDefault="00303A9F" w:rsidP="00303A9F">
      <w:pPr>
        <w:bidi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365F91"/>
          <w:sz w:val="28"/>
          <w:szCs w:val="28"/>
          <w:u w:val="single"/>
          <w:lang w:bidi="ar-SY"/>
        </w:rPr>
      </w:pPr>
      <w:r w:rsidRPr="00303A9F">
        <w:rPr>
          <w:rFonts w:ascii="Times New Roman" w:hAnsi="Times New Roman" w:cs="Times New Roman"/>
          <w:b/>
          <w:bCs/>
          <w:color w:val="365F91"/>
          <w:sz w:val="28"/>
          <w:szCs w:val="28"/>
          <w:u w:val="single"/>
          <w:lang w:bidi="ar-SY"/>
        </w:rPr>
        <w:t>Clinical manifestations of acquired immunity:</w:t>
      </w: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 w:rsidRPr="00303A9F">
        <w:rPr>
          <w:rFonts w:ascii="Times New Roman" w:hAnsi="Times New Roman" w:cs="Times New Roman"/>
          <w:b/>
          <w:bCs/>
          <w:color w:val="00B050"/>
          <w:sz w:val="28"/>
          <w:szCs w:val="28"/>
          <w:lang w:bidi="ar-SY"/>
        </w:rPr>
        <w:t>1.Absence of an effective immune response:</w:t>
      </w:r>
      <w:r w:rsidRPr="00303A9F">
        <w:rPr>
          <w:rFonts w:ascii="Times New Roman" w:hAnsi="Times New Roman" w:cs="Times New Roman"/>
          <w:b/>
          <w:bCs/>
          <w:sz w:val="28"/>
          <w:szCs w:val="28"/>
          <w:lang w:bidi="ar-SY"/>
        </w:rPr>
        <w:t xml:space="preserve"> </w:t>
      </w: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Y"/>
        </w:rPr>
      </w:pPr>
      <w:r w:rsidRPr="00303A9F">
        <w:rPr>
          <w:rFonts w:ascii="Times New Roman" w:hAnsi="Times New Roman" w:cs="Times New Roman"/>
          <w:sz w:val="28"/>
          <w:szCs w:val="28"/>
          <w:lang w:bidi="ar-SY"/>
        </w:rPr>
        <w:t xml:space="preserve">     In this case the patients do not develop any effective immunity  although signs of the  host immune  response are present  e.g specific antibodies . Typical examples are african trypanosomiasis, visceral leishmanasis</w:t>
      </w:r>
      <w:r w:rsidRPr="00303A9F">
        <w:rPr>
          <w:rFonts w:ascii="Times New Roman" w:hAnsi="Times New Roman" w:cs="Times New Roman"/>
          <w:i/>
          <w:iCs/>
          <w:sz w:val="28"/>
          <w:szCs w:val="28"/>
          <w:lang w:bidi="ar-SY"/>
        </w:rPr>
        <w:t xml:space="preserve"> </w:t>
      </w:r>
      <w:r w:rsidRPr="00303A9F">
        <w:rPr>
          <w:rFonts w:ascii="Times New Roman" w:hAnsi="Times New Roman" w:cs="Times New Roman"/>
          <w:sz w:val="28"/>
          <w:szCs w:val="28"/>
          <w:lang w:bidi="ar-SY"/>
        </w:rPr>
        <w:t>&amp; amoebiasis .</w:t>
      </w: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 w:rsidRPr="00303A9F">
        <w:rPr>
          <w:rFonts w:ascii="Times New Roman" w:hAnsi="Times New Roman" w:cs="Times New Roman"/>
          <w:b/>
          <w:bCs/>
          <w:color w:val="00B050"/>
          <w:sz w:val="28"/>
          <w:szCs w:val="28"/>
          <w:lang w:bidi="ar-SY"/>
        </w:rPr>
        <w:t>2.Non-sterilizing immunity (incomplete immunity)</w:t>
      </w:r>
      <w:r w:rsidRPr="00303A9F">
        <w:rPr>
          <w:rFonts w:ascii="Times New Roman" w:hAnsi="Times New Roman" w:cs="Times New Roman"/>
          <w:b/>
          <w:bCs/>
          <w:sz w:val="28"/>
          <w:szCs w:val="28"/>
          <w:lang w:bidi="ar-SY"/>
        </w:rPr>
        <w:t xml:space="preserve">: </w:t>
      </w: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Y"/>
        </w:rPr>
      </w:pPr>
      <w:r w:rsidRPr="00303A9F">
        <w:rPr>
          <w:rFonts w:ascii="Times New Roman" w:hAnsi="Times New Roman" w:cs="Times New Roman"/>
          <w:sz w:val="28"/>
          <w:szCs w:val="28"/>
          <w:lang w:bidi="ar-SY"/>
        </w:rPr>
        <w:t xml:space="preserve">    The majority of parasitic infection induces this type of immunity which is only partially effec</w:t>
      </w:r>
      <w:r w:rsidR="009A563E">
        <w:rPr>
          <w:rFonts w:ascii="Times New Roman" w:hAnsi="Times New Roman" w:cs="Times New Roman"/>
          <w:sz w:val="28"/>
          <w:szCs w:val="28"/>
          <w:lang w:bidi="ar-SY"/>
        </w:rPr>
        <w:t xml:space="preserve">tive as it </w:t>
      </w:r>
      <w:r w:rsidRPr="00303A9F">
        <w:rPr>
          <w:rFonts w:ascii="Times New Roman" w:hAnsi="Times New Roman" w:cs="Times New Roman"/>
          <w:sz w:val="28"/>
          <w:szCs w:val="28"/>
          <w:lang w:bidi="ar-SY"/>
        </w:rPr>
        <w:t>causes clinical recovery associated with persistence of the parasite at relatively low density. This p</w:t>
      </w:r>
      <w:r w:rsidR="009A563E">
        <w:rPr>
          <w:rFonts w:ascii="Times New Roman" w:hAnsi="Times New Roman" w:cs="Times New Roman"/>
          <w:sz w:val="28"/>
          <w:szCs w:val="28"/>
          <w:lang w:bidi="ar-SY"/>
        </w:rPr>
        <w:t xml:space="preserve">henomenon has been referred to </w:t>
      </w:r>
      <w:r w:rsidRPr="00303A9F">
        <w:rPr>
          <w:rFonts w:ascii="Times New Roman" w:hAnsi="Times New Roman" w:cs="Times New Roman"/>
          <w:sz w:val="28"/>
          <w:szCs w:val="28"/>
          <w:lang w:bidi="ar-SY"/>
        </w:rPr>
        <w:t>as " Premunition" which is  characteristic for humen malarias , toxoplasmosis &amp; chagas disease.</w:t>
      </w: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Y"/>
        </w:rPr>
      </w:pPr>
      <w:r w:rsidRPr="00303A9F">
        <w:rPr>
          <w:rFonts w:ascii="Times New Roman" w:hAnsi="Times New Roman" w:cs="Times New Roman"/>
          <w:sz w:val="28"/>
          <w:szCs w:val="28"/>
          <w:lang w:bidi="ar-SY"/>
        </w:rPr>
        <w:t xml:space="preserve">     In henlmi</w:t>
      </w:r>
      <w:r w:rsidR="009A563E">
        <w:rPr>
          <w:rFonts w:ascii="Times New Roman" w:hAnsi="Times New Roman" w:cs="Times New Roman"/>
          <w:sz w:val="28"/>
          <w:szCs w:val="28"/>
          <w:lang w:bidi="ar-SY"/>
        </w:rPr>
        <w:t>nthia</w:t>
      </w:r>
      <w:r w:rsidRPr="00303A9F">
        <w:rPr>
          <w:rFonts w:ascii="Times New Roman" w:hAnsi="Times New Roman" w:cs="Times New Roman"/>
          <w:sz w:val="28"/>
          <w:szCs w:val="28"/>
          <w:lang w:bidi="ar-SY"/>
        </w:rPr>
        <w:t>sis, it corresponds to "concomitant immunity" which protects the host against reinfection but is inactive against established worms from primary or previous infections (e.g Schistosomiasis).</w:t>
      </w: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b/>
          <w:bCs/>
          <w:color w:val="00B050"/>
          <w:sz w:val="28"/>
          <w:szCs w:val="28"/>
          <w:lang w:bidi="ar-SY"/>
        </w:rPr>
      </w:pPr>
      <w:r w:rsidRPr="00303A9F">
        <w:rPr>
          <w:rFonts w:ascii="Times New Roman" w:hAnsi="Times New Roman" w:cs="Times New Roman"/>
          <w:b/>
          <w:bCs/>
          <w:color w:val="00B050"/>
          <w:sz w:val="28"/>
          <w:szCs w:val="28"/>
          <w:lang w:bidi="ar-SY"/>
        </w:rPr>
        <w:t>3. Sterilizing immunity:</w:t>
      </w:r>
    </w:p>
    <w:p w:rsidR="00303A9F" w:rsidRPr="00303A9F" w:rsidRDefault="009A563E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 xml:space="preserve">      This is very rarely </w:t>
      </w:r>
      <w:r w:rsidR="00303A9F" w:rsidRPr="00303A9F">
        <w:rPr>
          <w:rFonts w:ascii="Times New Roman" w:hAnsi="Times New Roman" w:cs="Times New Roman"/>
          <w:sz w:val="28"/>
          <w:szCs w:val="28"/>
          <w:lang w:bidi="ar-SY"/>
        </w:rPr>
        <w:t>met with in human parasitic infections e.g cutaneous leishmaniasis</w:t>
      </w: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Y"/>
        </w:rPr>
      </w:pPr>
    </w:p>
    <w:p w:rsidR="00303A9F" w:rsidRP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303A9F" w:rsidRDefault="00303A9F" w:rsidP="00303A9F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553BC1" w:rsidRPr="00553BC1" w:rsidRDefault="00553BC1" w:rsidP="00553BC1">
      <w:pPr>
        <w:bidi w:val="0"/>
        <w:spacing w:line="360" w:lineRule="auto"/>
        <w:outlineLvl w:val="0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553BC1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>Types of Parasite Antigens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color w:val="00B050"/>
          <w:sz w:val="28"/>
          <w:szCs w:val="28"/>
        </w:rPr>
      </w:pPr>
      <w:r w:rsidRPr="00553BC1">
        <w:rPr>
          <w:rFonts w:ascii="Times New Roman" w:hAnsi="Times New Roman" w:cs="Times New Roman"/>
          <w:color w:val="00B050"/>
          <w:sz w:val="28"/>
          <w:szCs w:val="28"/>
        </w:rPr>
        <w:t>1. Soluble exoantigens :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553BC1">
        <w:rPr>
          <w:rFonts w:ascii="Times New Roman" w:hAnsi="Times New Roman" w:cs="Times New Roman"/>
          <w:sz w:val="28"/>
          <w:szCs w:val="28"/>
        </w:rPr>
        <w:t xml:space="preserve">      Released from living parasites, parasitized cells or cultured helminth cell lines and termed as excretory / secretory (ES); excretory / secretory / tissue turnover (EST) or metabolic antigens. 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color w:val="00B050"/>
          <w:sz w:val="28"/>
          <w:szCs w:val="28"/>
        </w:rPr>
      </w:pPr>
      <w:r w:rsidRPr="00553BC1">
        <w:rPr>
          <w:rFonts w:ascii="Times New Roman" w:hAnsi="Times New Roman" w:cs="Times New Roman"/>
          <w:color w:val="00B050"/>
          <w:sz w:val="28"/>
          <w:szCs w:val="28"/>
        </w:rPr>
        <w:t xml:space="preserve">2.soluble somatic antigens: 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553BC1">
        <w:rPr>
          <w:rFonts w:ascii="Times New Roman" w:hAnsi="Times New Roman" w:cs="Times New Roman"/>
          <w:sz w:val="28"/>
          <w:szCs w:val="28"/>
        </w:rPr>
        <w:t xml:space="preserve">        Extracted from parasites or parasitized cells and may be surface or internal antigens. Examples: adult worm extract (AWE); larval somatic antigens (LSA); detergent solubilized protozoa surface antigens of infected cells and  parasites… etc.  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color w:val="00B050"/>
          <w:sz w:val="28"/>
          <w:szCs w:val="28"/>
        </w:rPr>
      </w:pPr>
      <w:r w:rsidRPr="00553BC1">
        <w:rPr>
          <w:rFonts w:ascii="Times New Roman" w:hAnsi="Times New Roman" w:cs="Times New Roman"/>
          <w:color w:val="00B050"/>
          <w:sz w:val="28"/>
          <w:szCs w:val="28"/>
        </w:rPr>
        <w:t>3. Dead or fragmented parasites .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color w:val="00B050"/>
          <w:sz w:val="28"/>
          <w:szCs w:val="28"/>
        </w:rPr>
      </w:pPr>
      <w:r w:rsidRPr="00553BC1">
        <w:rPr>
          <w:rFonts w:ascii="Times New Roman" w:hAnsi="Times New Roman" w:cs="Times New Roman"/>
          <w:color w:val="00B050"/>
          <w:sz w:val="28"/>
          <w:szCs w:val="28"/>
        </w:rPr>
        <w:t xml:space="preserve">4. Whole living parasite. 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color w:val="00B050"/>
          <w:sz w:val="28"/>
          <w:szCs w:val="28"/>
        </w:rPr>
      </w:pPr>
      <w:r w:rsidRPr="00553BC1">
        <w:rPr>
          <w:rFonts w:ascii="Times New Roman" w:hAnsi="Times New Roman" w:cs="Times New Roman"/>
          <w:color w:val="00B050"/>
          <w:sz w:val="28"/>
          <w:szCs w:val="28"/>
        </w:rPr>
        <w:t>5. Body fluids of nematodes.</w:t>
      </w:r>
    </w:p>
    <w:p w:rsidR="00553BC1" w:rsidRPr="00553BC1" w:rsidRDefault="00553BC1" w:rsidP="00553BC1">
      <w:pPr>
        <w:bidi w:val="0"/>
        <w:spacing w:after="0" w:line="360" w:lineRule="auto"/>
        <w:jc w:val="lowKashida"/>
        <w:rPr>
          <w:rFonts w:ascii="Times New Roman" w:hAnsi="Times New Roman" w:cs="Times New Roman"/>
          <w:color w:val="FF0066"/>
          <w:sz w:val="28"/>
          <w:szCs w:val="28"/>
        </w:rPr>
      </w:pPr>
      <w:r w:rsidRPr="00553BC1">
        <w:rPr>
          <w:rFonts w:ascii="Times New Roman" w:hAnsi="Times New Roman" w:cs="Times New Roman"/>
          <w:color w:val="00B050"/>
          <w:sz w:val="28"/>
          <w:szCs w:val="28"/>
        </w:rPr>
        <w:t>6. Cystic fluid of larval cestodes</w:t>
      </w:r>
      <w:r w:rsidRPr="00553BC1">
        <w:rPr>
          <w:rFonts w:ascii="Times New Roman" w:hAnsi="Times New Roman" w:cs="Times New Roman"/>
          <w:color w:val="FF0066"/>
          <w:sz w:val="28"/>
          <w:szCs w:val="28"/>
        </w:rPr>
        <w:t xml:space="preserve">. </w:t>
      </w:r>
    </w:p>
    <w:p w:rsidR="00553BC1" w:rsidRPr="00553BC1" w:rsidRDefault="00553BC1" w:rsidP="00553BC1">
      <w:pPr>
        <w:bidi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</w:rPr>
      </w:pPr>
    </w:p>
    <w:sectPr w:rsidR="00553BC1" w:rsidRPr="00553BC1" w:rsidSect="005401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95" w:rsidRDefault="00214E95" w:rsidP="00303A9F">
      <w:pPr>
        <w:spacing w:after="0" w:line="240" w:lineRule="auto"/>
      </w:pPr>
      <w:r>
        <w:separator/>
      </w:r>
    </w:p>
  </w:endnote>
  <w:endnote w:type="continuationSeparator" w:id="0">
    <w:p w:rsidR="00214E95" w:rsidRDefault="00214E95" w:rsidP="0030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95" w:rsidRDefault="00214E95" w:rsidP="00303A9F">
      <w:pPr>
        <w:spacing w:after="0" w:line="240" w:lineRule="auto"/>
      </w:pPr>
      <w:r>
        <w:separator/>
      </w:r>
    </w:p>
  </w:footnote>
  <w:footnote w:type="continuationSeparator" w:id="0">
    <w:p w:rsidR="00214E95" w:rsidRDefault="00214E95" w:rsidP="0030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E776F"/>
    <w:multiLevelType w:val="hybridMultilevel"/>
    <w:tmpl w:val="19449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2D46A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10416EE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35EF3B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BD889A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12D51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7FE455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A88C7BE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3FA30C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F"/>
    <w:rsid w:val="00070613"/>
    <w:rsid w:val="00111836"/>
    <w:rsid w:val="00214E95"/>
    <w:rsid w:val="00303A9F"/>
    <w:rsid w:val="00540103"/>
    <w:rsid w:val="00553BC1"/>
    <w:rsid w:val="006323C1"/>
    <w:rsid w:val="008053CF"/>
    <w:rsid w:val="008A19DB"/>
    <w:rsid w:val="0096692C"/>
    <w:rsid w:val="009A563E"/>
    <w:rsid w:val="00AE7EF0"/>
    <w:rsid w:val="00BD307B"/>
    <w:rsid w:val="00C313F3"/>
    <w:rsid w:val="00CF2FF4"/>
    <w:rsid w:val="00DF602F"/>
    <w:rsid w:val="00EB76A3"/>
    <w:rsid w:val="00F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6B6"/>
  <w15:docId w15:val="{05912855-62E0-4F91-98CA-553D0325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9F"/>
  </w:style>
  <w:style w:type="paragraph" w:styleId="Footer">
    <w:name w:val="footer"/>
    <w:basedOn w:val="Normal"/>
    <w:link w:val="FooterChar"/>
    <w:uiPriority w:val="99"/>
    <w:unhideWhenUsed/>
    <w:rsid w:val="0030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Dina Hasanin</cp:lastModifiedBy>
  <cp:revision>4</cp:revision>
  <dcterms:created xsi:type="dcterms:W3CDTF">2019-11-28T05:45:00Z</dcterms:created>
  <dcterms:modified xsi:type="dcterms:W3CDTF">2019-11-28T06:25:00Z</dcterms:modified>
</cp:coreProperties>
</file>