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7D" w:rsidRPr="009F247D" w:rsidRDefault="009F247D" w:rsidP="009F247D">
      <w:pPr>
        <w:spacing w:after="0" w:line="240" w:lineRule="auto"/>
        <w:jc w:val="center"/>
        <w:rPr>
          <w:rFonts w:ascii="AGA Arabesque" w:eastAsia="Times New Roman" w:hAnsi="AGA Arabesque" w:cs="Traditional Arabic"/>
          <w:b/>
          <w:bCs/>
          <w:color w:val="000080"/>
          <w:sz w:val="48"/>
          <w:szCs w:val="48"/>
          <w:u w:val="single"/>
          <w:rtl/>
        </w:rPr>
      </w:pPr>
      <w:r w:rsidRPr="009F247D">
        <w:rPr>
          <w:rFonts w:ascii="AGA Arabesque" w:eastAsia="Times New Roman" w:hAnsi="AGA Arabesque" w:cs="Traditional Arabic" w:hint="cs"/>
          <w:b/>
          <w:bCs/>
          <w:color w:val="000080"/>
          <w:sz w:val="48"/>
          <w:szCs w:val="48"/>
          <w:u w:val="single"/>
          <w:rtl/>
        </w:rPr>
        <w:t>المجمل والمبين</w:t>
      </w:r>
    </w:p>
    <w:p w:rsidR="009F247D" w:rsidRPr="009F247D" w:rsidRDefault="009F247D" w:rsidP="009F247D">
      <w:pPr>
        <w:spacing w:after="0" w:line="240" w:lineRule="auto"/>
        <w:jc w:val="center"/>
        <w:rPr>
          <w:rFonts w:ascii="AGA Arabesque" w:eastAsia="Times New Roman" w:hAnsi="AGA Arabesque" w:cs="Traditional Arabic" w:hint="cs"/>
          <w:color w:val="FF0000"/>
          <w:sz w:val="32"/>
          <w:szCs w:val="32"/>
          <w:rtl/>
        </w:rPr>
      </w:pPr>
      <w:r w:rsidRPr="009F247D">
        <w:rPr>
          <w:rFonts w:ascii="AGA Arabesque" w:eastAsia="Times New Roman" w:hAnsi="AGA Arabesque" w:cs="Traditional Arabic"/>
          <w:b/>
          <w:bCs/>
          <w:i/>
          <w:iCs/>
          <w:color w:val="FF0000"/>
          <w:sz w:val="32"/>
          <w:szCs w:val="32"/>
          <w:u w:val="single"/>
          <w:rtl/>
        </w:rPr>
        <w:t>أوّلا</w:t>
      </w:r>
      <w:r w:rsidRPr="009F247D">
        <w:rPr>
          <w:rFonts w:ascii="AGA Arabesque" w:eastAsia="Times New Roman" w:hAnsi="AGA Arabesque" w:cs="Traditional Arabic"/>
          <w:b/>
          <w:bCs/>
          <w:color w:val="FF0000"/>
          <w:sz w:val="32"/>
          <w:szCs w:val="32"/>
          <w:rtl/>
        </w:rPr>
        <w:t>: المجمل</w:t>
      </w:r>
      <w:r w:rsidRPr="009F247D">
        <w:rPr>
          <w:rFonts w:ascii="AGA Arabesque" w:eastAsia="Times New Roman" w:hAnsi="AGA Arabesque" w:cs="Traditional Arabic" w:hint="cs"/>
          <w:b/>
          <w:bCs/>
          <w:color w:val="FF0000"/>
          <w:sz w:val="32"/>
          <w:szCs w:val="32"/>
          <w:rtl/>
        </w:rPr>
        <w:t>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</w:pPr>
      <w:proofErr w:type="gramStart"/>
      <w:r w:rsidRPr="009F247D">
        <w:rPr>
          <w:rFonts w:ascii="AGA Arabesque" w:eastAsia="Times New Roman" w:hAnsi="AGA Arabesque" w:cs="Traditional Arabic" w:hint="cs"/>
          <w:b/>
          <w:bCs/>
          <w:color w:val="000000"/>
          <w:sz w:val="32"/>
          <w:szCs w:val="32"/>
          <w:rtl/>
        </w:rPr>
        <w:t>1</w:t>
      </w:r>
      <w:r w:rsidRPr="009F247D">
        <w:rPr>
          <w:rFonts w:ascii="AGA Arabesque" w:eastAsia="Times New Roman" w:hAnsi="AGA Arabesque" w:cs="Traditional Arabic" w:hint="cs"/>
          <w:b/>
          <w:bCs/>
          <w:sz w:val="36"/>
          <w:szCs w:val="36"/>
          <w:rtl/>
        </w:rPr>
        <w:t xml:space="preserve">- </w:t>
      </w:r>
      <w:r w:rsidRPr="009F247D">
        <w:rPr>
          <w:rFonts w:ascii="AGA Arabesque" w:eastAsia="Times New Roman" w:hAnsi="AGA Arabesque" w:cs="Traditional Arabic" w:hint="cs"/>
          <w:b/>
          <w:bCs/>
          <w:i/>
          <w:iCs/>
          <w:sz w:val="36"/>
          <w:szCs w:val="36"/>
          <w:u w:val="single"/>
          <w:rtl/>
        </w:rPr>
        <w:t>تعريفه</w:t>
      </w:r>
      <w:proofErr w:type="gramEnd"/>
      <w:r w:rsidRPr="009F247D">
        <w:rPr>
          <w:rFonts w:ascii="AGA Arabesque" w:eastAsia="Times New Roman" w:hAnsi="AGA Arabesque" w:cs="Traditional Arabic" w:hint="cs"/>
          <w:b/>
          <w:bCs/>
          <w:sz w:val="36"/>
          <w:szCs w:val="36"/>
          <w:rtl/>
        </w:rPr>
        <w:t xml:space="preserve">: </w:t>
      </w: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لغة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هو اسم من " أَجْمَلَ " إذا خلطه ولم يميّزه عنه فيصير مبهما.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اصطلاحا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: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هو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لفظ يحتمل أكثر من معنى وليس أحدُهما أرجحَ من الآخر.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فبقولنا:" لفظ يحتمل أكثر من معنى " خرج النّص، وسنذكره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إن شاء الله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وبقولنا:" ليس أحدهما أرجح من الآخر " خرج الظّاهر والمؤوّل وس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يأتي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ذكرهما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أيضا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.</w:t>
      </w:r>
      <w:bookmarkStart w:id="0" w:name="_GoBack"/>
      <w:bookmarkEnd w:id="0"/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فالمجمل: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هو الّذي لا يتّضح المقصود منه لتردّده بين معانٍ متساوية في الاحتمال.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ولك أن تعرّفه بأنّه:" ما يتوقف فهم المراد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منه  على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غيره، إماّ في تعيينه، أو بيان صفته، أو مقداره ".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u w:val="single"/>
          <w:rtl/>
        </w:rPr>
        <w:t>أمثلة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: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 w:hint="cs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* قال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وَالمُطَلَّقاّتُ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يَتَرَبَّصْنَ بِأّنْفُسِهِنَّ ثَلاَثَةَ قُرُوءٍ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. فإنّ " القرء "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–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بفتح القاف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و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ضمّها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–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يطلق ويراد به الحيض والطّهر، فهو لفظ مشترك، يحتاج تعيينه إلى دليل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، لذلك كان مجملا.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* وقال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وَأَقِيمُوا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الصَّلاَةَ وَآتُوا الزَّكاَةَ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. فإنّ لفظ " الصّلاة " مفهوم الحقيقة، لكنّه مجمل في الصّفة. ولفظ "الزّكاة" مفهوم الحقيقة لكنّه مجمل في المقدار، ويحتاج كلّ منهما إلى بيان.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 w:hint="cs"/>
          <w:b/>
          <w:bCs/>
          <w:sz w:val="36"/>
          <w:szCs w:val="36"/>
          <w:u w:val="single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* وقال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أَوْ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يَعْفُوَ الَّذِي بِيَدِهِ عُقْدَةُ النِّكَاحِ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[البقرة: من الآية237]، فالّذي بيده عقدة النّكاح لفظ يحتمل أن يقصَد به الزّوج، ويحتمل أن يُقصد به وليّ المرأة،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لذلك فهو مجمل.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</w:pPr>
      <w:proofErr w:type="gramStart"/>
      <w:r w:rsidRPr="009F247D">
        <w:rPr>
          <w:rFonts w:ascii="AGA Arabesque" w:eastAsia="Times New Roman" w:hAnsi="AGA Arabesque" w:cs="Traditional Arabic" w:hint="cs"/>
          <w:b/>
          <w:bCs/>
          <w:sz w:val="36"/>
          <w:szCs w:val="36"/>
          <w:u w:val="single"/>
          <w:rtl/>
        </w:rPr>
        <w:t xml:space="preserve">2- </w:t>
      </w:r>
      <w:r w:rsidRPr="009F247D">
        <w:rPr>
          <w:rFonts w:ascii="AGA Arabesque" w:eastAsia="Times New Roman" w:hAnsi="AGA Arabesque" w:cs="Traditional Arabic"/>
          <w:b/>
          <w:bCs/>
          <w:i/>
          <w:iCs/>
          <w:sz w:val="36"/>
          <w:szCs w:val="36"/>
          <w:u w:val="single"/>
          <w:rtl/>
        </w:rPr>
        <w:t>حكمه</w:t>
      </w:r>
      <w:proofErr w:type="gramEnd"/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: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 w:hint="cs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فإذا لم يتبيّن للمجتهد معنى المجمل، فإنّه لا يجوز العمل بأحد معاني المجمل حتّى يأتي الدّليل المبيّن، لأنّ أحد المعاني ليس أولى من غيره، والدّليل الذي يبيّن هو " المبيِّن "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–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بكسر الياء-،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فيصير النّص بعدها هو: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 w:hint="cs"/>
          <w:color w:val="000000"/>
          <w:sz w:val="32"/>
          <w:szCs w:val="32"/>
          <w:rtl/>
        </w:rPr>
      </w:pPr>
    </w:p>
    <w:p w:rsidR="009F247D" w:rsidRDefault="009F247D" w:rsidP="009F247D">
      <w:pPr>
        <w:spacing w:after="0" w:line="240" w:lineRule="auto"/>
        <w:jc w:val="center"/>
        <w:rPr>
          <w:rFonts w:ascii="AGA Arabesque" w:eastAsia="Times New Roman" w:hAnsi="AGA Arabesque" w:cs="Traditional Arabic"/>
          <w:b/>
          <w:bCs/>
          <w:i/>
          <w:iCs/>
          <w:color w:val="FF0000"/>
          <w:sz w:val="36"/>
          <w:szCs w:val="36"/>
          <w:u w:val="single"/>
          <w:rtl/>
        </w:rPr>
      </w:pPr>
    </w:p>
    <w:p w:rsidR="009F247D" w:rsidRPr="009F247D" w:rsidRDefault="009F247D" w:rsidP="009F247D">
      <w:pPr>
        <w:spacing w:after="0" w:line="240" w:lineRule="auto"/>
        <w:jc w:val="center"/>
        <w:rPr>
          <w:rFonts w:ascii="AGA Arabesque" w:eastAsia="Times New Roman" w:hAnsi="AGA Arabesque" w:cs="Traditional Arabic"/>
          <w:b/>
          <w:bCs/>
          <w:color w:val="FF0000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i/>
          <w:iCs/>
          <w:color w:val="FF0000"/>
          <w:sz w:val="36"/>
          <w:szCs w:val="36"/>
          <w:u w:val="single"/>
          <w:rtl/>
        </w:rPr>
        <w:t>ثانيا</w:t>
      </w:r>
      <w:r w:rsidRPr="009F247D">
        <w:rPr>
          <w:rFonts w:ascii="AGA Arabesque" w:eastAsia="Times New Roman" w:hAnsi="AGA Arabesque" w:cs="Traditional Arabic"/>
          <w:b/>
          <w:bCs/>
          <w:color w:val="FF0000"/>
          <w:sz w:val="36"/>
          <w:szCs w:val="36"/>
          <w:rtl/>
        </w:rPr>
        <w:t>: المبيَّن</w:t>
      </w:r>
      <w:r w:rsidRPr="009F247D">
        <w:rPr>
          <w:rFonts w:ascii="AGA Arabesque" w:eastAsia="Times New Roman" w:hAnsi="AGA Arabesque" w:cs="Traditional Arabic" w:hint="cs"/>
          <w:b/>
          <w:bCs/>
          <w:color w:val="FF0000"/>
          <w:sz w:val="36"/>
          <w:szCs w:val="36"/>
          <w:rtl/>
        </w:rPr>
        <w:t xml:space="preserve"> 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proofErr w:type="gramStart"/>
      <w:r w:rsidRPr="009F247D">
        <w:rPr>
          <w:rFonts w:ascii="AGA Arabesque" w:eastAsia="Times New Roman" w:hAnsi="AGA Arabesque" w:cs="Traditional Arabic" w:hint="cs"/>
          <w:b/>
          <w:bCs/>
          <w:sz w:val="36"/>
          <w:szCs w:val="36"/>
          <w:rtl/>
        </w:rPr>
        <w:t xml:space="preserve">1- </w:t>
      </w:r>
      <w:r w:rsidRPr="009F247D">
        <w:rPr>
          <w:rFonts w:ascii="AGA Arabesque" w:eastAsia="Times New Roman" w:hAnsi="AGA Arabesque" w:cs="Traditional Arabic" w:hint="cs"/>
          <w:b/>
          <w:bCs/>
          <w:i/>
          <w:iCs/>
          <w:sz w:val="36"/>
          <w:szCs w:val="36"/>
          <w:u w:val="single"/>
          <w:rtl/>
        </w:rPr>
        <w:t>تعريفه</w:t>
      </w:r>
      <w:proofErr w:type="gramEnd"/>
      <w:r w:rsidRPr="009F247D">
        <w:rPr>
          <w:rFonts w:ascii="AGA Arabesque" w:eastAsia="Times New Roman" w:hAnsi="AGA Arabesque" w:cs="Traditional Arabic" w:hint="cs"/>
          <w:b/>
          <w:bCs/>
          <w:sz w:val="36"/>
          <w:szCs w:val="36"/>
          <w:rtl/>
        </w:rPr>
        <w:t xml:space="preserve">: </w:t>
      </w: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لغة: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هو اسم مفعول من " بَيَّنَ " من " البيان "، أي: التبيين، ومعناه " الموَضَّح "، فالبيان هو الإيضاح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، وهو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إخراج اللّفظ من حالة الإجمال والخفاء إلى حالة الظهور </w:t>
      </w:r>
      <w:proofErr w:type="spell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والاتضاح</w:t>
      </w:r>
      <w:proofErr w:type="spell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اصطلاحا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: هو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اللّفظ  الداّل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على معنى بعد التبيين.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فخرج بقولنا:" اللّفظ الدّال على معنى " المجمل فإنّه لا يفهم منه معنى معين.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وبقولنا "بعد التبيين" خرج "النّص" فإنّه لم يدخله إشكال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حتّى  يصير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مبيّنا.</w:t>
      </w:r>
    </w:p>
    <w:p w:rsidR="009F247D" w:rsidRPr="009F247D" w:rsidRDefault="009F247D" w:rsidP="009F247D">
      <w:pPr>
        <w:numPr>
          <w:ilvl w:val="0"/>
          <w:numId w:val="2"/>
        </w:num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  <w:t>أمثلة:</w:t>
      </w:r>
    </w:p>
    <w:p w:rsidR="009F247D" w:rsidRPr="009F247D" w:rsidRDefault="009F247D" w:rsidP="009F247D">
      <w:pPr>
        <w:numPr>
          <w:ilvl w:val="0"/>
          <w:numId w:val="1"/>
        </w:num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lastRenderedPageBreak/>
        <w:t xml:space="preserve">قال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وَالمُطَلَّقاّتُ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يَتَرَبَّصْنَ بِأّنْفُسِهِنَّ ثلاثةَ قُرُوءٍ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،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فهو – كما سبق بيانه – نصّ مجمل، لأنّ القرء لفظ مشترك بين الطّهر والحيض.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لكن بعد ما يقف الطّالب على أدّلة الحنفيّة في حملهم " القرء " على " الحيض "، يرتفع هذا الإجمال، ويعتقد بأنّ عدّة المرأة تكون بالحيض.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 w:hint="cs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من تلك الأدلّة قوله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sym w:font="AGA Arabesque" w:char="F072"/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: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(( دَعِي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الصَّلاَةَ أَيَّامَ أَقْراَئِكِ )) [أخرجه أصحاب السّنن إلاّ النسائي]، وقوله تعالى: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</w:t>
      </w:r>
      <w:proofErr w:type="spellStart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وَاللاّءِ</w:t>
      </w:r>
      <w:proofErr w:type="spell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يَئِسْنَ منَ المَحِيضِ مِنْ نِساَئِكُمْ إِنِ ارْتَبْتُمْ فَعِدَّتُهُنَّ ثَلاَثَةُ أَشْهَرٍ </w:t>
      </w:r>
      <w:proofErr w:type="spellStart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وَاللاَّء</w:t>
      </w:r>
      <w:proofErr w:type="spell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لَمْ يَحِضْنَ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،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فجعل الأشهر بدلا من الحيض لا من الأطهار فدلّ أنّ الحيض أصل في العدّة.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ثمّ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إنّ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النظر يؤيِّد ذلك، فَإِنَّ من مقاصد العدّة استبراء الرّحم، والعلامة الدّالة على براءته إنّما هو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الحيض  لا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الطّهر، لأنّ الطّهر تشترك فيه الحامل والحائل.</w:t>
      </w:r>
    </w:p>
    <w:p w:rsidR="009F247D" w:rsidRPr="009F247D" w:rsidRDefault="009F247D" w:rsidP="009F247D">
      <w:pPr>
        <w:numPr>
          <w:ilvl w:val="0"/>
          <w:numId w:val="1"/>
        </w:num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قوله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وَأَقِيموُا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الصَّلاَةَ  وآتُوا الزَّكَاةَ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، نصّ مجمل الكيفيّة والمقدار، ولكنّ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النَبيَ 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sym w:font="AGA Arabesque" w:char="F072"/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بيّن معناه ببيان صفة الصّلاة، ومقدار الزّكاة قولا وعملا.</w:t>
      </w:r>
    </w:p>
    <w:p w:rsidR="009F247D" w:rsidRPr="009F247D" w:rsidRDefault="009F247D" w:rsidP="009F247D">
      <w:pPr>
        <w:numPr>
          <w:ilvl w:val="0"/>
          <w:numId w:val="1"/>
        </w:num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وق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و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ل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ه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أَوْ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يَعْفُوَ الَّذِي بِيَدِهِ عُقْدَةُ النِّكَاحِ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مجمل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–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كما سبق بيانه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–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والرّاجح عند جمهور أهل العلم أنّه الزّوج، لقوله تعالى بعد: 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وَأَنْ تَعْفُوا أَقْرَبُ لِلتَّقْوَى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، فذلك يرد على من يُسقِط حقّ نفسه لا حقّ غيره.</w:t>
      </w:r>
    </w:p>
    <w:p w:rsidR="009F247D" w:rsidRPr="009F247D" w:rsidRDefault="009F247D" w:rsidP="009F247D">
      <w:pPr>
        <w:numPr>
          <w:ilvl w:val="0"/>
          <w:numId w:val="1"/>
        </w:num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وقوله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تعالى: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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وَلِلَّهِ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 عَلىَ النَّاسِ  حِجُّ البَيْتِ</w:t>
      </w:r>
      <w:r w:rsidRPr="009F247D">
        <w:rPr>
          <w:rFonts w:ascii="AGA Arabesque" w:eastAsia="Times New Roman" w:hAnsi="AGA Arabesque" w:cs="Traditional Arabic"/>
          <w:sz w:val="36"/>
          <w:szCs w:val="36"/>
          <w:lang w:val="fr-FR"/>
        </w:rPr>
        <w:t>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>،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بيّنه النّبيّ 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sym w:font="AGA Arabesque" w:char="F072"/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قولا وعملا كذلك.</w:t>
      </w:r>
    </w:p>
    <w:p w:rsidR="009F247D" w:rsidRPr="009F247D" w:rsidRDefault="009F247D" w:rsidP="009F247D">
      <w:pPr>
        <w:numPr>
          <w:ilvl w:val="0"/>
          <w:numId w:val="3"/>
        </w:numPr>
        <w:spacing w:after="0" w:line="240" w:lineRule="auto"/>
        <w:jc w:val="lowKashida"/>
        <w:rPr>
          <w:rFonts w:ascii="AGA Arabesque" w:eastAsia="Times New Roman" w:hAnsi="AGA Arabesque" w:cs="Traditional Arabic"/>
          <w:b/>
          <w:bCs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b/>
          <w:bCs/>
          <w:i/>
          <w:iCs/>
          <w:sz w:val="36"/>
          <w:szCs w:val="36"/>
          <w:u w:val="single"/>
          <w:rtl/>
        </w:rPr>
        <w:t>حكمه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: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إذا حصل بيان المجمل وجب العمل به.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و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لا بدّ أن نعلم أنّ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النّبيّ </w:t>
      </w:r>
      <w:r w:rsidRPr="009F247D">
        <w:rPr>
          <w:rFonts w:ascii="AGA Arabesque" w:eastAsia="Times New Roman" w:hAnsi="AGA Arabesque" w:cs="Traditional Arabic"/>
          <w:sz w:val="36"/>
          <w:szCs w:val="36"/>
        </w:rPr>
        <w:sym w:font="AGA Arabesque" w:char="F072"/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قد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بيّـن لأُمَّته جميع شريعته، أصولها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  <w:lang w:val="fr-FR"/>
        </w:rPr>
        <w:t xml:space="preserve">وفروعها، حتىّ ترك الأمّة على شريعة بيضاء نقيّة، ليلها كنهارها، ولم يترك البيان عند الحاجة إليه أبدا.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فلم يبقَ نصّ من نصوص الكتاب أو السنّة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 xml:space="preserve">بعد وفاته 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مجملا، وإنّما يبقَى الإجمال واردا في حقّ المجتهد.</w:t>
      </w:r>
    </w:p>
    <w:p w:rsidR="009F247D" w:rsidRPr="009F247D" w:rsidRDefault="009F247D" w:rsidP="009F247D">
      <w:pPr>
        <w:spacing w:after="0" w:line="240" w:lineRule="auto"/>
        <w:jc w:val="lowKashida"/>
        <w:rPr>
          <w:rFonts w:ascii="AGA Arabesque" w:eastAsia="Times New Roman" w:hAnsi="AGA Arabesque" w:cs="Traditional Arabic"/>
          <w:sz w:val="36"/>
          <w:szCs w:val="36"/>
          <w:rtl/>
        </w:rPr>
      </w:pP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لذلك كان من القواعد المقرّرة لدى أهل العلم </w:t>
      </w:r>
      <w:r w:rsidRPr="009F247D">
        <w:rPr>
          <w:rFonts w:ascii="AGA Arabesque" w:eastAsia="Times New Roman" w:hAnsi="AGA Arabesque" w:cs="Traditional Arabic" w:hint="cs"/>
          <w:sz w:val="36"/>
          <w:szCs w:val="36"/>
          <w:rtl/>
        </w:rPr>
        <w:t>أ</w:t>
      </w:r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نّه: </w:t>
      </w:r>
      <w:proofErr w:type="gramStart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>( لا</w:t>
      </w:r>
      <w:proofErr w:type="gramEnd"/>
      <w:r w:rsidRPr="009F247D">
        <w:rPr>
          <w:rFonts w:ascii="AGA Arabesque" w:eastAsia="Times New Roman" w:hAnsi="AGA Arabesque" w:cs="Traditional Arabic"/>
          <w:sz w:val="36"/>
          <w:szCs w:val="36"/>
          <w:rtl/>
        </w:rPr>
        <w:t xml:space="preserve"> يجوز تأخير البيان عن وقت الحاجة ).</w:t>
      </w:r>
    </w:p>
    <w:p w:rsidR="009F5886" w:rsidRDefault="009F5886"/>
    <w:sectPr w:rsidR="009F5886" w:rsidSect="009F247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E2541"/>
    <w:multiLevelType w:val="hybridMultilevel"/>
    <w:tmpl w:val="435A4408"/>
    <w:lvl w:ilvl="0" w:tplc="49EEAB3A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/>
        <w:bCs/>
        <w:color w:val="8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062B27"/>
    <w:multiLevelType w:val="hybridMultilevel"/>
    <w:tmpl w:val="D8FA82AC"/>
    <w:lvl w:ilvl="0" w:tplc="A25C2F6A">
      <w:start w:val="2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5E17837"/>
    <w:multiLevelType w:val="hybridMultilevel"/>
    <w:tmpl w:val="9998D2EA"/>
    <w:lvl w:ilvl="0" w:tplc="E722918C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raditional Arabic" w:hint="default"/>
        <w:color w:val="333399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7D"/>
    <w:rsid w:val="009F247D"/>
    <w:rsid w:val="009F5886"/>
    <w:rsid w:val="00A0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4CCBEFA-A21D-4B24-AC5C-25F0480E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1</cp:revision>
  <dcterms:created xsi:type="dcterms:W3CDTF">2015-11-29T22:33:00Z</dcterms:created>
  <dcterms:modified xsi:type="dcterms:W3CDTF">2015-11-29T22:37:00Z</dcterms:modified>
</cp:coreProperties>
</file>