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8E" w:rsidRDefault="00F01D8E" w:rsidP="00F01D8E">
      <w:pPr>
        <w:outlineLvl w:val="0"/>
        <w:rPr>
          <w:b/>
          <w:bCs/>
          <w:color w:val="FF0000"/>
          <w:sz w:val="32"/>
          <w:szCs w:val="32"/>
          <w:u w:val="single"/>
        </w:rPr>
      </w:pPr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التعليق على التجربة الاولى </w:t>
      </w:r>
      <w:proofErr w:type="spellStart"/>
      <w:r>
        <w:rPr>
          <w:rFonts w:hint="cs"/>
          <w:b/>
          <w:bCs/>
          <w:color w:val="FF0000"/>
          <w:sz w:val="32"/>
          <w:szCs w:val="32"/>
          <w:u w:val="single"/>
          <w:rtl/>
        </w:rPr>
        <w:t>(</w:t>
      </w:r>
      <w:proofErr w:type="spellEnd"/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تقدير المحتوى المائي وعلاقته بنسبة الانبات</w:t>
      </w:r>
      <w:proofErr w:type="spellStart"/>
      <w:r>
        <w:rPr>
          <w:rFonts w:hint="cs"/>
          <w:b/>
          <w:bCs/>
          <w:color w:val="FF0000"/>
          <w:sz w:val="32"/>
          <w:szCs w:val="32"/>
          <w:u w:val="single"/>
          <w:rtl/>
        </w:rPr>
        <w:t>)</w:t>
      </w:r>
      <w:proofErr w:type="spellEnd"/>
      <w:r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:ـ</w:t>
      </w:r>
    </w:p>
    <w:p w:rsidR="00F01D8E" w:rsidRDefault="00F01D8E" w:rsidP="00F01D8E">
      <w:pPr>
        <w:rPr>
          <w:rtl/>
        </w:rPr>
      </w:pPr>
    </w:p>
    <w:tbl>
      <w:tblPr>
        <w:bidiVisual/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9"/>
        <w:gridCol w:w="777"/>
        <w:gridCol w:w="777"/>
        <w:gridCol w:w="1019"/>
        <w:gridCol w:w="1914"/>
        <w:gridCol w:w="2018"/>
      </w:tblGrid>
      <w:tr w:rsidR="00F01D8E" w:rsidTr="00F01D8E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نوع البذره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و1</w:t>
            </w:r>
            <w:proofErr w:type="spell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و2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proofErr w:type="spellStart"/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و1-</w:t>
            </w:r>
            <w:proofErr w:type="spellEnd"/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و2</w:t>
            </w:r>
            <w:proofErr w:type="spell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المحتوى المائي للوزن الرطب%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00800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008000"/>
                <w:sz w:val="28"/>
                <w:szCs w:val="28"/>
                <w:rtl/>
              </w:rPr>
              <w:t>المحتوى المائي للوزن الجاف%</w:t>
            </w:r>
          </w:p>
        </w:tc>
      </w:tr>
      <w:tr w:rsidR="00F01D8E" w:rsidTr="00F01D8E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800080"/>
                <w:sz w:val="40"/>
                <w:szCs w:val="40"/>
              </w:rPr>
            </w:pPr>
            <w:r>
              <w:rPr>
                <w:rFonts w:hint="cs"/>
                <w:b/>
                <w:bCs/>
                <w:color w:val="800080"/>
                <w:sz w:val="40"/>
                <w:szCs w:val="40"/>
                <w:rtl/>
              </w:rPr>
              <w:t>فول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6.</w:t>
            </w:r>
            <w:r w:rsidR="006956EB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 w:rsidP="00F01D8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5.7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.3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95B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21.3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7455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22.8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F01D8E" w:rsidTr="00F01D8E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800080"/>
                <w:sz w:val="40"/>
                <w:szCs w:val="40"/>
              </w:rPr>
            </w:pPr>
            <w:r>
              <w:rPr>
                <w:rFonts w:hint="cs"/>
                <w:b/>
                <w:bCs/>
                <w:color w:val="800080"/>
                <w:sz w:val="40"/>
                <w:szCs w:val="40"/>
                <w:rtl/>
              </w:rPr>
              <w:t>ترمس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3.8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3.6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</w:t>
            </w:r>
            <w:r w:rsidR="006956EB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95B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5.26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7455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5.5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F01D8E" w:rsidTr="00F01D8E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800080"/>
                <w:sz w:val="40"/>
                <w:szCs w:val="40"/>
              </w:rPr>
            </w:pPr>
            <w:r>
              <w:rPr>
                <w:rFonts w:hint="cs"/>
                <w:b/>
                <w:bCs/>
                <w:color w:val="800080"/>
                <w:sz w:val="40"/>
                <w:szCs w:val="40"/>
                <w:rtl/>
              </w:rPr>
              <w:t>قمح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0.25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</w:t>
            </w:r>
            <w:r w:rsidR="006956EB">
              <w:rPr>
                <w:rFonts w:hint="cs"/>
                <w:b/>
                <w:bCs/>
                <w:sz w:val="28"/>
                <w:szCs w:val="28"/>
                <w:rtl/>
              </w:rPr>
              <w:t>23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0.0</w:t>
            </w:r>
            <w:r w:rsidR="006956EB"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95B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7455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8.6</w:t>
            </w:r>
            <w:r w:rsidR="001B0379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F01D8E" w:rsidTr="00F01D8E"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>
            <w:pPr>
              <w:jc w:val="center"/>
              <w:rPr>
                <w:b/>
                <w:bCs/>
                <w:color w:val="800080"/>
                <w:sz w:val="40"/>
                <w:szCs w:val="40"/>
              </w:rPr>
            </w:pPr>
            <w:r>
              <w:rPr>
                <w:rFonts w:hint="cs"/>
                <w:b/>
                <w:bCs/>
                <w:color w:val="800080"/>
                <w:sz w:val="40"/>
                <w:szCs w:val="40"/>
                <w:rtl/>
              </w:rPr>
              <w:t>شعير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6956EB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0.50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6956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</w:t>
            </w:r>
            <w:r w:rsidR="006956EB">
              <w:rPr>
                <w:rFonts w:hint="cs"/>
                <w:b/>
                <w:bCs/>
                <w:sz w:val="28"/>
                <w:szCs w:val="28"/>
                <w:rtl/>
              </w:rPr>
              <w:t>43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F01D8E" w:rsidP="00FD5B8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</w:t>
            </w:r>
            <w:r w:rsidR="00FD5B8D">
              <w:rPr>
                <w:rFonts w:hint="cs"/>
                <w:b/>
                <w:bCs/>
                <w:sz w:val="28"/>
                <w:szCs w:val="28"/>
                <w:rtl/>
              </w:rPr>
              <w:t>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C30E0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D8E" w:rsidRDefault="00C30E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16.2</w:t>
            </w:r>
            <w:r w:rsidR="00F01D8E">
              <w:rPr>
                <w:rFonts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</w:tbl>
    <w:p w:rsidR="00F01D8E" w:rsidRDefault="00F01D8E" w:rsidP="00F01D8E">
      <w:pPr>
        <w:jc w:val="center"/>
        <w:rPr>
          <w:rtl/>
        </w:rPr>
      </w:pPr>
    </w:p>
    <w:p w:rsidR="00F01D8E" w:rsidRDefault="00F01D8E" w:rsidP="00F01D8E">
      <w:pPr>
        <w:rPr>
          <w:b/>
          <w:bCs/>
          <w:color w:val="000000"/>
          <w:sz w:val="32"/>
          <w:szCs w:val="32"/>
          <w:rtl/>
        </w:rPr>
      </w:pPr>
      <w:r>
        <w:rPr>
          <w:rFonts w:hint="cs"/>
          <w:b/>
          <w:bCs/>
          <w:color w:val="000000"/>
          <w:sz w:val="32"/>
          <w:szCs w:val="32"/>
          <w:rtl/>
        </w:rPr>
        <w:t>من خلال النتائج في الجدول السابق  نلاحظ ان  المحتوى المائي للبذور (</w:t>
      </w:r>
      <w:r>
        <w:rPr>
          <w:rFonts w:hint="cs"/>
          <w:b/>
          <w:bCs/>
          <w:color w:val="FF6600"/>
          <w:sz w:val="32"/>
          <w:szCs w:val="32"/>
          <w:rtl/>
        </w:rPr>
        <w:t>الفول والترمس</w:t>
      </w:r>
      <w:proofErr w:type="spellStart"/>
      <w:r>
        <w:rPr>
          <w:rFonts w:hint="cs"/>
          <w:b/>
          <w:bCs/>
          <w:color w:val="000000"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color w:val="000000"/>
          <w:sz w:val="32"/>
          <w:szCs w:val="32"/>
          <w:rtl/>
        </w:rPr>
        <w:t xml:space="preserve"> اعلى من البذور </w:t>
      </w:r>
      <w:proofErr w:type="spellStart"/>
      <w:r>
        <w:rPr>
          <w:rFonts w:hint="cs"/>
          <w:b/>
          <w:bCs/>
          <w:color w:val="000000"/>
          <w:sz w:val="32"/>
          <w:szCs w:val="32"/>
          <w:rtl/>
        </w:rPr>
        <w:t>النشويه</w:t>
      </w:r>
      <w:proofErr w:type="spellEnd"/>
      <w:r>
        <w:rPr>
          <w:rFonts w:hint="cs"/>
          <w:b/>
          <w:bCs/>
          <w:color w:val="000000"/>
          <w:sz w:val="32"/>
          <w:szCs w:val="32"/>
          <w:rtl/>
        </w:rPr>
        <w:t xml:space="preserve"> </w:t>
      </w:r>
    </w:p>
    <w:p w:rsidR="00F01D8E" w:rsidRDefault="00F01D8E" w:rsidP="00F01D8E">
      <w:pPr>
        <w:outlineLvl w:val="0"/>
        <w:rPr>
          <w:b/>
          <w:bCs/>
          <w:sz w:val="32"/>
          <w:szCs w:val="32"/>
          <w:rtl/>
        </w:rPr>
      </w:pPr>
    </w:p>
    <w:p w:rsidR="00F01D8E" w:rsidRDefault="00F01D8E" w:rsidP="00F01D8E">
      <w:pPr>
        <w:outlineLvl w:val="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تجدر </w:t>
      </w:r>
      <w:proofErr w:type="spellStart"/>
      <w:r>
        <w:rPr>
          <w:rFonts w:hint="cs"/>
          <w:b/>
          <w:bCs/>
          <w:sz w:val="32"/>
          <w:szCs w:val="32"/>
          <w:rtl/>
        </w:rPr>
        <w:t>الاشاره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هنا الى ان المقارنه بنيت على </w:t>
      </w:r>
      <w:proofErr w:type="spellStart"/>
      <w:r>
        <w:rPr>
          <w:rFonts w:hint="cs"/>
          <w:b/>
          <w:bCs/>
          <w:sz w:val="32"/>
          <w:szCs w:val="32"/>
          <w:rtl/>
        </w:rPr>
        <w:t>العلاقه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الرياضيه </w:t>
      </w:r>
      <w:proofErr w:type="spellStart"/>
      <w:r>
        <w:rPr>
          <w:rFonts w:hint="cs"/>
          <w:b/>
          <w:bCs/>
          <w:sz w:val="32"/>
          <w:szCs w:val="32"/>
          <w:rtl/>
        </w:rPr>
        <w:t>و1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–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و2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فقط</w:t>
      </w:r>
    </w:p>
    <w:p w:rsidR="00F01D8E" w:rsidRDefault="00F01D8E" w:rsidP="00F01D8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وهذا الاختلاف  في المحتوى المائي للبذور </w:t>
      </w:r>
      <w:proofErr w:type="spellStart"/>
      <w:r>
        <w:rPr>
          <w:rFonts w:hint="cs"/>
          <w:b/>
          <w:bCs/>
          <w:sz w:val="32"/>
          <w:szCs w:val="32"/>
          <w:rtl/>
        </w:rPr>
        <w:t>البروتينيه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عن البذور </w:t>
      </w:r>
      <w:proofErr w:type="spellStart"/>
      <w:r>
        <w:rPr>
          <w:rFonts w:hint="cs"/>
          <w:b/>
          <w:bCs/>
          <w:sz w:val="32"/>
          <w:szCs w:val="32"/>
          <w:rtl/>
        </w:rPr>
        <w:t>النشويه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انما عائدا لمحتوى البذور </w:t>
      </w:r>
      <w:proofErr w:type="spellStart"/>
      <w:r>
        <w:rPr>
          <w:rFonts w:hint="cs"/>
          <w:b/>
          <w:bCs/>
          <w:sz w:val="32"/>
          <w:szCs w:val="32"/>
          <w:rtl/>
        </w:rPr>
        <w:t>البقوليه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من البروتين والذي يملك  خصائص </w:t>
      </w:r>
      <w:proofErr w:type="spellStart"/>
      <w:r>
        <w:rPr>
          <w:rFonts w:hint="cs"/>
          <w:b/>
          <w:bCs/>
          <w:sz w:val="32"/>
          <w:szCs w:val="32"/>
          <w:rtl/>
        </w:rPr>
        <w:t>غرويه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تعمل على تشرب الماء وامتصاصه بكميات اكبر بسبب تكون روابط </w:t>
      </w:r>
      <w:proofErr w:type="spellStart"/>
      <w:r>
        <w:rPr>
          <w:rFonts w:hint="cs"/>
          <w:b/>
          <w:bCs/>
          <w:sz w:val="32"/>
          <w:szCs w:val="32"/>
          <w:rtl/>
        </w:rPr>
        <w:t>هيدروجينيه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 بين جزيئات المواد </w:t>
      </w:r>
      <w:proofErr w:type="spellStart"/>
      <w:r>
        <w:rPr>
          <w:rFonts w:hint="cs"/>
          <w:b/>
          <w:bCs/>
          <w:sz w:val="32"/>
          <w:szCs w:val="32"/>
          <w:rtl/>
        </w:rPr>
        <w:t>الغرويه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(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البروتينات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وبين جزيئات الماء بحيث تحيط جزيئات الماء بالسطوح </w:t>
      </w:r>
      <w:proofErr w:type="spellStart"/>
      <w:r>
        <w:rPr>
          <w:rFonts w:hint="cs"/>
          <w:b/>
          <w:bCs/>
          <w:sz w:val="32"/>
          <w:szCs w:val="32"/>
          <w:rtl/>
        </w:rPr>
        <w:t>المشحونه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الدقيقه،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وكذلك قدرتها على الاحتفاظ </w:t>
      </w:r>
      <w:proofErr w:type="spellStart"/>
      <w:r>
        <w:rPr>
          <w:rFonts w:hint="cs"/>
          <w:b/>
          <w:bCs/>
          <w:sz w:val="32"/>
          <w:szCs w:val="32"/>
          <w:rtl/>
        </w:rPr>
        <w:t>به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كماء مقيد داخل انسجه البذره  .</w:t>
      </w:r>
    </w:p>
    <w:p w:rsidR="00F01D8E" w:rsidRDefault="00F01D8E" w:rsidP="00F01D8E">
      <w:pPr>
        <w:outlineLvl w:val="0"/>
        <w:rPr>
          <w:b/>
          <w:bCs/>
          <w:color w:val="FF0000"/>
          <w:sz w:val="32"/>
          <w:szCs w:val="32"/>
          <w:rtl/>
        </w:rPr>
      </w:pPr>
      <w:proofErr w:type="spellStart"/>
      <w:r>
        <w:rPr>
          <w:rFonts w:hint="cs"/>
          <w:b/>
          <w:bCs/>
          <w:color w:val="FF0000"/>
          <w:sz w:val="32"/>
          <w:szCs w:val="32"/>
          <w:rtl/>
        </w:rPr>
        <w:t>بالاضافه</w:t>
      </w:r>
      <w:proofErr w:type="spellEnd"/>
      <w:r>
        <w:rPr>
          <w:rFonts w:hint="cs"/>
          <w:b/>
          <w:bCs/>
          <w:color w:val="FF0000"/>
          <w:sz w:val="32"/>
          <w:szCs w:val="32"/>
          <w:rtl/>
        </w:rPr>
        <w:t xml:space="preserve"> الى المواد </w:t>
      </w:r>
      <w:proofErr w:type="spellStart"/>
      <w:r>
        <w:rPr>
          <w:rFonts w:hint="cs"/>
          <w:b/>
          <w:bCs/>
          <w:color w:val="FF0000"/>
          <w:sz w:val="32"/>
          <w:szCs w:val="32"/>
          <w:rtl/>
        </w:rPr>
        <w:t>البكتينيه</w:t>
      </w:r>
      <w:proofErr w:type="spellEnd"/>
      <w:r>
        <w:rPr>
          <w:rFonts w:hint="cs"/>
          <w:b/>
          <w:bCs/>
          <w:color w:val="FF0000"/>
          <w:sz w:val="32"/>
          <w:szCs w:val="32"/>
          <w:rtl/>
        </w:rPr>
        <w:t xml:space="preserve"> في البذور والتي لها خصائص الاحتفاظ بالماء ايضا.</w:t>
      </w:r>
    </w:p>
    <w:p w:rsidR="00F01D8E" w:rsidRDefault="00F01D8E" w:rsidP="00F01D8E">
      <w:pPr>
        <w:rPr>
          <w:b/>
          <w:bCs/>
          <w:color w:val="FF0000"/>
          <w:sz w:val="32"/>
          <w:szCs w:val="32"/>
          <w:rtl/>
        </w:rPr>
      </w:pPr>
    </w:p>
    <w:p w:rsidR="00F01D8E" w:rsidRDefault="00F01D8E" w:rsidP="00F01D8E">
      <w:pPr>
        <w:outlineLvl w:val="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هذا لا يمكننا اغفال حجم البذور ايضا وما له دور بارز في تغيير الوزن .</w:t>
      </w:r>
    </w:p>
    <w:p w:rsidR="00F01D8E" w:rsidRDefault="00F01D8E" w:rsidP="00F01D8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اما البذور </w:t>
      </w:r>
      <w:proofErr w:type="spellStart"/>
      <w:r>
        <w:rPr>
          <w:rFonts w:hint="cs"/>
          <w:b/>
          <w:bCs/>
          <w:sz w:val="32"/>
          <w:szCs w:val="32"/>
          <w:rtl/>
        </w:rPr>
        <w:t>النشويه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فأن المحتوى المائي فيها اقل من البذور الاخرى وذلك عائد لقلة محتواها من البروتين في طبقة </w:t>
      </w:r>
      <w:proofErr w:type="spellStart"/>
      <w:r>
        <w:rPr>
          <w:rFonts w:hint="cs"/>
          <w:b/>
          <w:bCs/>
          <w:sz w:val="32"/>
          <w:szCs w:val="32"/>
          <w:rtl/>
        </w:rPr>
        <w:t>الاليرون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مقارنة بالبذور الاخرى ولصغر حجمها ايضا.</w:t>
      </w:r>
    </w:p>
    <w:p w:rsidR="00F01D8E" w:rsidRDefault="00F01D8E" w:rsidP="00F01D8E">
      <w:pPr>
        <w:rPr>
          <w:b/>
          <w:bCs/>
          <w:sz w:val="32"/>
          <w:szCs w:val="32"/>
          <w:rtl/>
        </w:rPr>
      </w:pPr>
    </w:p>
    <w:p w:rsidR="00F01D8E" w:rsidRDefault="00F01D8E" w:rsidP="00F01D8E">
      <w:pPr>
        <w:rPr>
          <w:b/>
          <w:bCs/>
          <w:sz w:val="32"/>
          <w:szCs w:val="32"/>
          <w:rtl/>
        </w:rPr>
      </w:pPr>
    </w:p>
    <w:p w:rsidR="00E91631" w:rsidRDefault="00E91631"/>
    <w:sectPr w:rsidR="00E91631" w:rsidSect="00BF5A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01D8E"/>
    <w:rsid w:val="00125B1F"/>
    <w:rsid w:val="001B0379"/>
    <w:rsid w:val="006956EB"/>
    <w:rsid w:val="0074550F"/>
    <w:rsid w:val="00762AF8"/>
    <w:rsid w:val="008D341F"/>
    <w:rsid w:val="0097515B"/>
    <w:rsid w:val="00A35926"/>
    <w:rsid w:val="00BF5AF2"/>
    <w:rsid w:val="00C30E06"/>
    <w:rsid w:val="00E91631"/>
    <w:rsid w:val="00EE5F88"/>
    <w:rsid w:val="00F01D8E"/>
    <w:rsid w:val="00F95B3E"/>
    <w:rsid w:val="00FD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8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7</cp:revision>
  <dcterms:created xsi:type="dcterms:W3CDTF">2016-10-01T11:42:00Z</dcterms:created>
  <dcterms:modified xsi:type="dcterms:W3CDTF">2017-03-05T18:59:00Z</dcterms:modified>
</cp:coreProperties>
</file>