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529" w:rsidRPr="00496597" w:rsidRDefault="00222963" w:rsidP="00222963">
      <w:pPr>
        <w:jc w:val="center"/>
        <w:rPr>
          <w:rStyle w:val="apple-converted-space"/>
          <w:rFonts w:asciiTheme="majorBidi" w:hAnsiTheme="majorBidi" w:cstheme="majorBidi"/>
          <w:b/>
          <w:bCs/>
          <w:sz w:val="36"/>
          <w:szCs w:val="36"/>
          <w:shd w:val="clear" w:color="auto" w:fill="FFFFFF"/>
        </w:rPr>
      </w:pPr>
      <w:r w:rsidRPr="00222963">
        <w:rPr>
          <w:rFonts w:asciiTheme="majorBidi" w:hAnsiTheme="majorBidi" w:cstheme="majorBidi"/>
          <w:b/>
          <w:bCs/>
          <w:sz w:val="36"/>
          <w:szCs w:val="36"/>
        </w:rPr>
        <w:t xml:space="preserve">Measurement of lipid peroxidase productions </w:t>
      </w:r>
      <w:r w:rsidRPr="00496597">
        <w:rPr>
          <w:rFonts w:asciiTheme="majorBidi" w:hAnsiTheme="majorBidi" w:cstheme="majorBidi"/>
          <w:b/>
          <w:bCs/>
          <w:sz w:val="36"/>
          <w:szCs w:val="36"/>
        </w:rPr>
        <w:t>(</w:t>
      </w:r>
      <w:r w:rsidRPr="00496597">
        <w:rPr>
          <w:rFonts w:asciiTheme="majorBidi" w:hAnsiTheme="majorBidi" w:cstheme="majorBidi"/>
          <w:b/>
          <w:bCs/>
          <w:sz w:val="36"/>
          <w:szCs w:val="36"/>
          <w:shd w:val="clear" w:color="auto" w:fill="FFFFFF"/>
        </w:rPr>
        <w:t>Thiobarbituric acid reactive substances</w:t>
      </w:r>
      <w:r w:rsidRPr="00496597">
        <w:rPr>
          <w:rStyle w:val="apple-converted-space"/>
          <w:rFonts w:asciiTheme="majorBidi" w:hAnsiTheme="majorBidi" w:cstheme="majorBidi"/>
          <w:b/>
          <w:bCs/>
          <w:sz w:val="36"/>
          <w:szCs w:val="36"/>
          <w:shd w:val="clear" w:color="auto" w:fill="FFFFFF"/>
        </w:rPr>
        <w:t> TBARS)</w:t>
      </w:r>
    </w:p>
    <w:p w:rsidR="00222963" w:rsidRPr="00496597" w:rsidRDefault="00222963" w:rsidP="00222963">
      <w:pPr>
        <w:jc w:val="center"/>
        <w:rPr>
          <w:rStyle w:val="apple-converted-space"/>
          <w:rFonts w:asciiTheme="majorBidi" w:hAnsiTheme="majorBidi" w:cstheme="majorBidi"/>
          <w:b/>
          <w:bCs/>
          <w:i/>
          <w:iCs/>
          <w:sz w:val="36"/>
          <w:szCs w:val="36"/>
          <w:shd w:val="clear" w:color="auto" w:fill="FFFFFF"/>
        </w:rPr>
      </w:pPr>
      <w:r w:rsidRPr="00496597">
        <w:rPr>
          <w:rStyle w:val="apple-converted-space"/>
          <w:rFonts w:asciiTheme="majorBidi" w:hAnsiTheme="majorBidi" w:cstheme="majorBidi"/>
          <w:b/>
          <w:bCs/>
          <w:i/>
          <w:iCs/>
          <w:sz w:val="36"/>
          <w:szCs w:val="36"/>
          <w:shd w:val="clear" w:color="auto" w:fill="FFFFFF"/>
        </w:rPr>
        <w:t>Ruiz Larrea et all (1994)</w:t>
      </w:r>
    </w:p>
    <w:p w:rsidR="00222963" w:rsidRPr="00CB060F" w:rsidRDefault="00222963" w:rsidP="00222963">
      <w:pPr>
        <w:rPr>
          <w:rFonts w:asciiTheme="majorBidi" w:hAnsiTheme="majorBidi" w:cstheme="majorBidi"/>
          <w:sz w:val="28"/>
          <w:szCs w:val="28"/>
        </w:rPr>
      </w:pPr>
      <w:r w:rsidRPr="00CB060F">
        <w:rPr>
          <w:rFonts w:asciiTheme="majorBidi" w:hAnsiTheme="majorBidi" w:cstheme="majorBidi"/>
          <w:sz w:val="28"/>
          <w:szCs w:val="28"/>
        </w:rPr>
        <w:t>The extent of lipid oxidation could be determined by measuring the levels of lipid peroxidation products as thiobarbituric acid reactive substances (TBARS), mainly malondialdehyde (MDA). One of the most commonly applied assays is the TBA test of Ruiz-Larrea et al (1994). According to this method, samples were heated with TBA at low pH and a pink chromogen was measured by its absorbance at 532 nm.</w:t>
      </w:r>
    </w:p>
    <w:p w:rsidR="00CB060F" w:rsidRDefault="00CB060F" w:rsidP="00CB060F">
      <w:pPr>
        <w:rPr>
          <w:rFonts w:asciiTheme="majorBidi" w:hAnsiTheme="majorBidi" w:cstheme="majorBidi"/>
          <w:b/>
          <w:bCs/>
          <w:color w:val="ED7D31" w:themeColor="accent2"/>
          <w:sz w:val="28"/>
          <w:szCs w:val="28"/>
        </w:rPr>
      </w:pPr>
      <w:r>
        <w:rPr>
          <w:rFonts w:asciiTheme="majorBidi" w:hAnsiTheme="majorBidi" w:cstheme="majorBidi"/>
          <w:b/>
          <w:bCs/>
          <w:color w:val="ED7D31" w:themeColor="accent2"/>
          <w:sz w:val="28"/>
          <w:szCs w:val="28"/>
        </w:rPr>
        <w:t xml:space="preserve">Materiel: </w:t>
      </w:r>
    </w:p>
    <w:p w:rsidR="00CB060F" w:rsidRPr="00CB060F" w:rsidRDefault="0040010B" w:rsidP="00CB060F">
      <w:pPr>
        <w:rPr>
          <w:rFonts w:asciiTheme="majorBidi" w:hAnsiTheme="majorBidi" w:cstheme="majorBidi"/>
          <w:sz w:val="28"/>
          <w:szCs w:val="28"/>
        </w:rPr>
      </w:pPr>
      <w:r>
        <w:rPr>
          <w:rFonts w:asciiTheme="majorBidi" w:hAnsiTheme="majorBidi" w:cstheme="majorBidi"/>
          <w:sz w:val="28"/>
          <w:szCs w:val="28"/>
        </w:rPr>
        <w:t>60 tubes x 2</w:t>
      </w:r>
    </w:p>
    <w:p w:rsidR="00CB060F" w:rsidRPr="00CB060F" w:rsidRDefault="00CB060F" w:rsidP="00CB060F">
      <w:pPr>
        <w:rPr>
          <w:rFonts w:asciiTheme="majorBidi" w:hAnsiTheme="majorBidi" w:cstheme="majorBidi"/>
          <w:b/>
          <w:bCs/>
          <w:color w:val="ED7D31" w:themeColor="accent2"/>
          <w:sz w:val="28"/>
          <w:szCs w:val="28"/>
        </w:rPr>
      </w:pPr>
      <w:r w:rsidRPr="00CB060F">
        <w:rPr>
          <w:rFonts w:asciiTheme="majorBidi" w:hAnsiTheme="majorBidi" w:cstheme="majorBidi"/>
          <w:b/>
          <w:bCs/>
          <w:color w:val="ED7D31" w:themeColor="accent2"/>
          <w:sz w:val="28"/>
          <w:szCs w:val="28"/>
        </w:rPr>
        <w:t>Reagents:</w:t>
      </w:r>
    </w:p>
    <w:p w:rsidR="00CB060F" w:rsidRPr="00CB060F" w:rsidRDefault="00CB060F" w:rsidP="00CB060F">
      <w:pPr>
        <w:rPr>
          <w:rFonts w:asciiTheme="majorBidi" w:hAnsiTheme="majorBidi" w:cstheme="majorBidi"/>
          <w:sz w:val="28"/>
          <w:szCs w:val="28"/>
        </w:rPr>
      </w:pPr>
      <w:r w:rsidRPr="00CB060F">
        <w:rPr>
          <w:rFonts w:asciiTheme="majorBidi" w:hAnsiTheme="majorBidi" w:cstheme="majorBidi"/>
          <w:sz w:val="28"/>
          <w:szCs w:val="28"/>
        </w:rPr>
        <w:t xml:space="preserve"> - Reagent A: saturated TBA in 10% perchloric acid.</w:t>
      </w:r>
    </w:p>
    <w:p w:rsidR="00CB060F" w:rsidRPr="00CB060F" w:rsidRDefault="00CB060F" w:rsidP="00CB060F">
      <w:pPr>
        <w:rPr>
          <w:rFonts w:asciiTheme="majorBidi" w:hAnsiTheme="majorBidi" w:cstheme="majorBidi"/>
          <w:sz w:val="28"/>
          <w:szCs w:val="28"/>
        </w:rPr>
      </w:pPr>
      <w:r w:rsidRPr="00CB060F">
        <w:rPr>
          <w:rFonts w:asciiTheme="majorBidi" w:hAnsiTheme="majorBidi" w:cstheme="majorBidi"/>
          <w:sz w:val="28"/>
          <w:szCs w:val="28"/>
        </w:rPr>
        <w:t xml:space="preserve"> - Reag</w:t>
      </w:r>
      <w:r w:rsidR="00496597">
        <w:rPr>
          <w:rFonts w:asciiTheme="majorBidi" w:hAnsiTheme="majorBidi" w:cstheme="majorBidi"/>
          <w:sz w:val="28"/>
          <w:szCs w:val="28"/>
        </w:rPr>
        <w:t>ent B: 20% trichloroacetic acid</w:t>
      </w:r>
      <w:r w:rsidRPr="00CB060F">
        <w:rPr>
          <w:rFonts w:asciiTheme="majorBidi" w:hAnsiTheme="majorBidi" w:cstheme="majorBidi"/>
          <w:sz w:val="28"/>
          <w:szCs w:val="28"/>
        </w:rPr>
        <w:t xml:space="preserve"> </w:t>
      </w:r>
      <w:r w:rsidR="0040010B">
        <w:rPr>
          <w:rFonts w:asciiTheme="majorBidi" w:hAnsiTheme="majorBidi" w:cstheme="majorBidi"/>
          <w:sz w:val="28"/>
          <w:szCs w:val="28"/>
        </w:rPr>
        <w:t>(TCA)</w:t>
      </w:r>
    </w:p>
    <w:p w:rsidR="00CB060F" w:rsidRDefault="00CB060F" w:rsidP="00CB060F">
      <w:pPr>
        <w:rPr>
          <w:rFonts w:asciiTheme="majorBidi" w:hAnsiTheme="majorBidi" w:cstheme="majorBidi"/>
          <w:b/>
          <w:bCs/>
          <w:color w:val="ED7D31" w:themeColor="accent2"/>
          <w:sz w:val="28"/>
          <w:szCs w:val="28"/>
        </w:rPr>
      </w:pPr>
      <w:r w:rsidRPr="00CB060F">
        <w:rPr>
          <w:rFonts w:asciiTheme="majorBidi" w:hAnsiTheme="majorBidi" w:cstheme="majorBidi"/>
          <w:b/>
          <w:bCs/>
          <w:color w:val="ED7D31" w:themeColor="accent2"/>
          <w:sz w:val="28"/>
          <w:szCs w:val="28"/>
        </w:rPr>
        <w:t>Working reagent:</w:t>
      </w:r>
    </w:p>
    <w:p w:rsidR="00CB060F" w:rsidRPr="00CB060F" w:rsidRDefault="00CB060F" w:rsidP="00CB060F">
      <w:pPr>
        <w:rPr>
          <w:rFonts w:asciiTheme="majorBidi" w:hAnsiTheme="majorBidi" w:cstheme="majorBidi"/>
          <w:sz w:val="28"/>
          <w:szCs w:val="28"/>
        </w:rPr>
      </w:pPr>
      <w:r w:rsidRPr="00CB060F">
        <w:rPr>
          <w:rFonts w:asciiTheme="majorBidi" w:hAnsiTheme="majorBidi" w:cstheme="majorBidi"/>
          <w:sz w:val="28"/>
          <w:szCs w:val="28"/>
        </w:rPr>
        <w:t xml:space="preserve"> 1 volume of reagent A was mixed with 3 volumes of reagent B.</w:t>
      </w:r>
    </w:p>
    <w:p w:rsidR="00CB060F" w:rsidRPr="00CB060F" w:rsidRDefault="00CB060F" w:rsidP="00CB060F">
      <w:pPr>
        <w:rPr>
          <w:rFonts w:asciiTheme="majorBidi" w:hAnsiTheme="majorBidi" w:cstheme="majorBidi"/>
          <w:b/>
          <w:bCs/>
          <w:color w:val="ED7D31" w:themeColor="accent2"/>
          <w:sz w:val="28"/>
          <w:szCs w:val="28"/>
        </w:rPr>
      </w:pPr>
      <w:r w:rsidRPr="00CB060F">
        <w:rPr>
          <w:rFonts w:asciiTheme="majorBidi" w:hAnsiTheme="majorBidi" w:cstheme="majorBidi"/>
          <w:b/>
          <w:bCs/>
          <w:color w:val="ED7D31" w:themeColor="accent2"/>
          <w:sz w:val="28"/>
          <w:szCs w:val="28"/>
        </w:rPr>
        <w:t xml:space="preserve">Protocol: </w:t>
      </w:r>
    </w:p>
    <w:p w:rsidR="00CB060F" w:rsidRDefault="00CB060F" w:rsidP="00CB060F">
      <w:pPr>
        <w:rPr>
          <w:rFonts w:asciiTheme="majorBidi" w:hAnsiTheme="majorBidi" w:cstheme="majorBidi"/>
          <w:b/>
          <w:bCs/>
          <w:sz w:val="28"/>
          <w:szCs w:val="28"/>
        </w:rPr>
      </w:pPr>
      <w:r w:rsidRPr="00CB060F">
        <w:rPr>
          <w:rFonts w:asciiTheme="majorBidi" w:hAnsiTheme="majorBidi" w:cstheme="majorBidi"/>
          <w:sz w:val="28"/>
          <w:szCs w:val="28"/>
        </w:rPr>
        <w:t xml:space="preserve">4.5 ml of the </w:t>
      </w:r>
      <w:r w:rsidRPr="00CB060F">
        <w:rPr>
          <w:rFonts w:asciiTheme="majorBidi" w:hAnsiTheme="majorBidi" w:cstheme="majorBidi"/>
          <w:b/>
          <w:bCs/>
          <w:sz w:val="28"/>
          <w:szCs w:val="28"/>
        </w:rPr>
        <w:t>working reagent</w:t>
      </w:r>
      <w:r w:rsidRPr="00CB060F">
        <w:rPr>
          <w:rFonts w:asciiTheme="majorBidi" w:hAnsiTheme="majorBidi" w:cstheme="majorBidi"/>
          <w:sz w:val="28"/>
          <w:szCs w:val="28"/>
        </w:rPr>
        <w:t xml:space="preserve"> was added to 0.5ml of the </w:t>
      </w:r>
      <w:r w:rsidRPr="00CB060F">
        <w:rPr>
          <w:rFonts w:asciiTheme="majorBidi" w:hAnsiTheme="majorBidi" w:cstheme="majorBidi"/>
          <w:b/>
          <w:bCs/>
          <w:sz w:val="28"/>
          <w:szCs w:val="28"/>
        </w:rPr>
        <w:t>supernatant.</w:t>
      </w:r>
    </w:p>
    <w:p w:rsidR="00CB060F" w:rsidRDefault="00CB060F" w:rsidP="00CB060F">
      <w:pPr>
        <w:rPr>
          <w:rFonts w:asciiTheme="majorBidi" w:hAnsiTheme="majorBidi" w:cstheme="majorBidi"/>
          <w:sz w:val="28"/>
          <w:szCs w:val="28"/>
        </w:rPr>
      </w:pPr>
      <w:r w:rsidRPr="00CB060F">
        <w:rPr>
          <w:rFonts w:asciiTheme="majorBidi" w:hAnsiTheme="majorBidi" w:cstheme="majorBidi"/>
          <w:sz w:val="28"/>
          <w:szCs w:val="28"/>
        </w:rPr>
        <w:t xml:space="preserve"> The mixture was incubated for 20 minutes in a boiling water bath, left to cool at room temperature and then centrifuged at 3000 rpm for 5 minutes. </w:t>
      </w:r>
    </w:p>
    <w:p w:rsidR="00CB060F" w:rsidRDefault="00CB060F" w:rsidP="00CB060F">
      <w:pPr>
        <w:rPr>
          <w:rFonts w:asciiTheme="majorBidi" w:hAnsiTheme="majorBidi" w:cstheme="majorBidi"/>
          <w:sz w:val="28"/>
          <w:szCs w:val="28"/>
        </w:rPr>
      </w:pPr>
      <w:r w:rsidRPr="00CB060F">
        <w:rPr>
          <w:rFonts w:asciiTheme="majorBidi" w:hAnsiTheme="majorBidi" w:cstheme="majorBidi"/>
          <w:sz w:val="28"/>
          <w:szCs w:val="28"/>
        </w:rPr>
        <w:t xml:space="preserve">The developed pink colour was measured at 532 nm. </w:t>
      </w:r>
    </w:p>
    <w:p w:rsidR="00CB060F" w:rsidRDefault="00CB060F" w:rsidP="00CB060F">
      <w:pPr>
        <w:rPr>
          <w:rFonts w:asciiTheme="majorBidi" w:hAnsiTheme="majorBidi" w:cstheme="majorBidi"/>
          <w:sz w:val="28"/>
          <w:szCs w:val="28"/>
        </w:rPr>
      </w:pPr>
      <w:r w:rsidRPr="00CB060F">
        <w:rPr>
          <w:rFonts w:asciiTheme="majorBidi" w:hAnsiTheme="majorBidi" w:cstheme="majorBidi"/>
          <w:sz w:val="28"/>
          <w:szCs w:val="28"/>
        </w:rPr>
        <w:t>A blank solution was set up at the same time using 4.5 ml of the working reagent and 0.5 ml distilled water and treated similarly as the samples.</w:t>
      </w:r>
    </w:p>
    <w:p w:rsidR="00CB060F" w:rsidRDefault="00CB060F" w:rsidP="00CB060F">
      <w:pPr>
        <w:rPr>
          <w:rFonts w:asciiTheme="majorBidi" w:hAnsiTheme="majorBidi" w:cstheme="majorBidi"/>
          <w:sz w:val="28"/>
          <w:szCs w:val="28"/>
        </w:rPr>
      </w:pPr>
      <w:r w:rsidRPr="00CB060F">
        <w:rPr>
          <w:rFonts w:asciiTheme="majorBidi" w:hAnsiTheme="majorBidi" w:cstheme="majorBidi"/>
          <w:sz w:val="28"/>
          <w:szCs w:val="28"/>
        </w:rPr>
        <w:t xml:space="preserve"> Lipid peroxidation was expressed as µ moles MDA/ ml plasma using the </w:t>
      </w:r>
      <w:r w:rsidR="0040010B">
        <w:rPr>
          <w:rFonts w:asciiTheme="majorBidi" w:hAnsiTheme="majorBidi" w:cstheme="majorBidi"/>
          <w:sz w:val="28"/>
          <w:szCs w:val="28"/>
        </w:rPr>
        <w:t>extinction coefficient of MDA (ε = 1.53 105</w:t>
      </w:r>
      <w:r w:rsidRPr="00CB060F">
        <w:rPr>
          <w:rFonts w:asciiTheme="majorBidi" w:hAnsiTheme="majorBidi" w:cstheme="majorBidi"/>
          <w:sz w:val="28"/>
          <w:szCs w:val="28"/>
        </w:rPr>
        <w:t>) at 532nm.</w:t>
      </w:r>
    </w:p>
    <w:p w:rsidR="000E22B9" w:rsidRDefault="000E22B9" w:rsidP="00CB060F">
      <w:pPr>
        <w:rPr>
          <w:rFonts w:asciiTheme="majorBidi" w:hAnsiTheme="majorBidi" w:cstheme="majorBidi"/>
          <w:sz w:val="28"/>
          <w:szCs w:val="28"/>
        </w:rPr>
      </w:pPr>
    </w:p>
    <w:p w:rsidR="000E22B9" w:rsidRDefault="000E22B9" w:rsidP="00CB060F">
      <w:pPr>
        <w:rPr>
          <w:rFonts w:asciiTheme="majorBidi" w:hAnsiTheme="majorBidi" w:cstheme="majorBidi"/>
          <w:sz w:val="28"/>
          <w:szCs w:val="28"/>
        </w:rPr>
      </w:pPr>
    </w:p>
    <w:p w:rsidR="000E22B9" w:rsidRDefault="000E22B9" w:rsidP="00CB060F">
      <w:pPr>
        <w:rPr>
          <w:rFonts w:asciiTheme="majorBidi" w:hAnsiTheme="majorBidi" w:cstheme="majorBidi"/>
          <w:sz w:val="28"/>
          <w:szCs w:val="28"/>
        </w:rPr>
      </w:pPr>
    </w:p>
    <w:p w:rsidR="000E22B9" w:rsidRDefault="000E22B9" w:rsidP="00CB060F">
      <w:pPr>
        <w:rPr>
          <w:rFonts w:asciiTheme="majorBidi" w:hAnsiTheme="majorBidi" w:cstheme="majorBidi"/>
          <w:sz w:val="28"/>
          <w:szCs w:val="28"/>
        </w:rPr>
      </w:pPr>
    </w:p>
    <w:p w:rsidR="000E22B9" w:rsidRDefault="000E22B9" w:rsidP="00CB060F">
      <w:pPr>
        <w:rPr>
          <w:rFonts w:asciiTheme="majorBidi" w:hAnsiTheme="majorBidi" w:cstheme="majorBidi"/>
          <w:sz w:val="28"/>
          <w:szCs w:val="28"/>
        </w:rPr>
      </w:pPr>
    </w:p>
    <w:p w:rsidR="000E22B9" w:rsidRDefault="000E22B9" w:rsidP="00496597">
      <w:pPr>
        <w:spacing w:line="276" w:lineRule="auto"/>
        <w:jc w:val="center"/>
        <w:rPr>
          <w:rFonts w:asciiTheme="majorBidi" w:hAnsiTheme="majorBidi" w:cstheme="majorBidi"/>
          <w:b/>
          <w:bCs/>
          <w:sz w:val="36"/>
          <w:szCs w:val="36"/>
        </w:rPr>
      </w:pPr>
      <w:r w:rsidRPr="000E22B9">
        <w:rPr>
          <w:rFonts w:asciiTheme="majorBidi" w:hAnsiTheme="majorBidi" w:cstheme="majorBidi"/>
          <w:b/>
          <w:bCs/>
          <w:sz w:val="36"/>
          <w:szCs w:val="36"/>
        </w:rPr>
        <w:lastRenderedPageBreak/>
        <w:t>Measurement of glutathione</w:t>
      </w:r>
      <w:r w:rsidR="00496597">
        <w:rPr>
          <w:rFonts w:asciiTheme="majorBidi" w:hAnsiTheme="majorBidi" w:cstheme="majorBidi"/>
          <w:b/>
          <w:bCs/>
          <w:sz w:val="36"/>
          <w:szCs w:val="36"/>
        </w:rPr>
        <w:t xml:space="preserve"> (GSH)</w:t>
      </w:r>
    </w:p>
    <w:p w:rsidR="00496597" w:rsidRPr="00496597" w:rsidRDefault="00496597" w:rsidP="00496597">
      <w:pPr>
        <w:spacing w:line="276" w:lineRule="auto"/>
        <w:jc w:val="center"/>
        <w:rPr>
          <w:rStyle w:val="apple-converted-space"/>
          <w:rFonts w:asciiTheme="majorBidi" w:hAnsiTheme="majorBidi" w:cstheme="majorBidi"/>
          <w:i/>
          <w:iCs/>
          <w:shd w:val="clear" w:color="auto" w:fill="FFFFFF"/>
        </w:rPr>
      </w:pPr>
      <w:r w:rsidRPr="00496597">
        <w:rPr>
          <w:rStyle w:val="apple-converted-space"/>
          <w:rFonts w:asciiTheme="majorBidi" w:hAnsiTheme="majorBidi" w:cstheme="majorBidi"/>
          <w:b/>
          <w:bCs/>
          <w:i/>
          <w:iCs/>
          <w:sz w:val="36"/>
          <w:szCs w:val="36"/>
          <w:shd w:val="clear" w:color="auto" w:fill="FFFFFF"/>
        </w:rPr>
        <w:t>Beutler et al (1963)</w:t>
      </w:r>
    </w:p>
    <w:p w:rsidR="000E22B9" w:rsidRPr="000E22B9" w:rsidRDefault="000E22B9" w:rsidP="00496597">
      <w:pPr>
        <w:spacing w:line="276" w:lineRule="auto"/>
        <w:rPr>
          <w:rFonts w:asciiTheme="majorBidi" w:hAnsiTheme="majorBidi" w:cstheme="majorBidi"/>
          <w:sz w:val="28"/>
          <w:szCs w:val="28"/>
        </w:rPr>
      </w:pPr>
      <w:r w:rsidRPr="000E22B9">
        <w:rPr>
          <w:rFonts w:asciiTheme="majorBidi" w:hAnsiTheme="majorBidi" w:cstheme="majorBidi"/>
          <w:sz w:val="28"/>
          <w:szCs w:val="28"/>
        </w:rPr>
        <w:t xml:space="preserve"> A simple and accurate method for the determination of </w:t>
      </w:r>
      <w:r w:rsidRPr="00496597">
        <w:rPr>
          <w:rFonts w:asciiTheme="majorBidi" w:hAnsiTheme="majorBidi" w:cstheme="majorBidi"/>
          <w:b/>
          <w:bCs/>
          <w:sz w:val="28"/>
          <w:szCs w:val="28"/>
        </w:rPr>
        <w:t xml:space="preserve">GSH </w:t>
      </w:r>
      <w:r w:rsidRPr="000E22B9">
        <w:rPr>
          <w:rFonts w:asciiTheme="majorBidi" w:hAnsiTheme="majorBidi" w:cstheme="majorBidi"/>
          <w:sz w:val="28"/>
          <w:szCs w:val="28"/>
        </w:rPr>
        <w:t xml:space="preserve">was used as described by Beutler et al (1963). This method is based upon the development of a relatively stable yellow color when 5.5’ dithiobis-2- nitrobenzoic acid (DTNB) is added to sulfhydryl compounds. </w:t>
      </w:r>
    </w:p>
    <w:p w:rsidR="000E22B9" w:rsidRPr="000E22B9" w:rsidRDefault="000E22B9" w:rsidP="00496597">
      <w:pPr>
        <w:spacing w:line="276" w:lineRule="auto"/>
        <w:rPr>
          <w:rFonts w:asciiTheme="majorBidi" w:hAnsiTheme="majorBidi" w:cstheme="majorBidi"/>
          <w:sz w:val="28"/>
          <w:szCs w:val="28"/>
        </w:rPr>
      </w:pPr>
      <w:r w:rsidRPr="000E22B9">
        <w:rPr>
          <w:rFonts w:asciiTheme="majorBidi" w:hAnsiTheme="majorBidi" w:cstheme="majorBidi"/>
          <w:b/>
          <w:bCs/>
          <w:color w:val="ED7D31" w:themeColor="accent2"/>
          <w:sz w:val="28"/>
          <w:szCs w:val="28"/>
        </w:rPr>
        <w:t>Reagents:</w:t>
      </w:r>
      <w:r w:rsidRPr="000E22B9">
        <w:rPr>
          <w:rFonts w:asciiTheme="majorBidi" w:hAnsiTheme="majorBidi" w:cstheme="majorBidi"/>
          <w:sz w:val="28"/>
          <w:szCs w:val="28"/>
        </w:rPr>
        <w:t xml:space="preserve"> </w:t>
      </w:r>
    </w:p>
    <w:p w:rsidR="000E22B9" w:rsidRPr="000E22B9" w:rsidRDefault="000E22B9" w:rsidP="00496597">
      <w:pPr>
        <w:spacing w:line="276" w:lineRule="auto"/>
        <w:rPr>
          <w:rFonts w:asciiTheme="majorBidi" w:hAnsiTheme="majorBidi" w:cstheme="majorBidi"/>
          <w:color w:val="1F4E79" w:themeColor="accent1" w:themeShade="80"/>
          <w:sz w:val="24"/>
          <w:szCs w:val="24"/>
        </w:rPr>
      </w:pPr>
      <w:r w:rsidRPr="000E22B9">
        <w:rPr>
          <w:rFonts w:asciiTheme="majorBidi" w:hAnsiTheme="majorBidi" w:cstheme="majorBidi"/>
          <w:color w:val="1F4E79" w:themeColor="accent1" w:themeShade="80"/>
          <w:sz w:val="28"/>
          <w:szCs w:val="28"/>
        </w:rPr>
        <w:t xml:space="preserve">- </w:t>
      </w:r>
      <w:r w:rsidRPr="000E22B9">
        <w:rPr>
          <w:rFonts w:asciiTheme="majorBidi" w:hAnsiTheme="majorBidi" w:cstheme="majorBidi"/>
          <w:color w:val="1F4E79" w:themeColor="accent1" w:themeShade="80"/>
          <w:sz w:val="24"/>
          <w:szCs w:val="24"/>
        </w:rPr>
        <w:t>Precipitating solution:</w:t>
      </w:r>
    </w:p>
    <w:p w:rsidR="000E22B9" w:rsidRPr="000E22B9" w:rsidRDefault="000E22B9" w:rsidP="00496597">
      <w:pPr>
        <w:spacing w:line="276" w:lineRule="auto"/>
        <w:rPr>
          <w:rFonts w:asciiTheme="majorBidi" w:hAnsiTheme="majorBidi" w:cstheme="majorBidi"/>
          <w:sz w:val="28"/>
          <w:szCs w:val="28"/>
        </w:rPr>
      </w:pPr>
      <w:r w:rsidRPr="000E22B9">
        <w:rPr>
          <w:rFonts w:asciiTheme="majorBidi" w:hAnsiTheme="majorBidi" w:cstheme="majorBidi"/>
          <w:sz w:val="28"/>
          <w:szCs w:val="28"/>
        </w:rPr>
        <w:t xml:space="preserve"> 1.67g glacial metaphosphoric acid, 0.29g disodium ethylenediamine tetra acetic acid (EDTA) and 30 g sodium chloride were dissolved in 100 ml distilled water. This solution is stable for approximately 3 weeks at 40°C.</w:t>
      </w:r>
    </w:p>
    <w:p w:rsidR="000E22B9" w:rsidRPr="000E22B9" w:rsidRDefault="000E22B9" w:rsidP="00496597">
      <w:pPr>
        <w:spacing w:line="276" w:lineRule="auto"/>
        <w:rPr>
          <w:rFonts w:asciiTheme="majorBidi" w:hAnsiTheme="majorBidi" w:cstheme="majorBidi"/>
          <w:color w:val="1F4E79" w:themeColor="accent1" w:themeShade="80"/>
          <w:sz w:val="24"/>
          <w:szCs w:val="24"/>
        </w:rPr>
      </w:pPr>
      <w:r w:rsidRPr="000E22B9">
        <w:rPr>
          <w:rFonts w:asciiTheme="majorBidi" w:hAnsiTheme="majorBidi" w:cstheme="majorBidi"/>
          <w:color w:val="1F4E79" w:themeColor="accent1" w:themeShade="80"/>
          <w:sz w:val="28"/>
          <w:szCs w:val="28"/>
        </w:rPr>
        <w:t xml:space="preserve">- </w:t>
      </w:r>
      <w:r w:rsidRPr="000E22B9">
        <w:rPr>
          <w:rFonts w:asciiTheme="majorBidi" w:hAnsiTheme="majorBidi" w:cstheme="majorBidi"/>
          <w:color w:val="1F4E79" w:themeColor="accent1" w:themeShade="80"/>
          <w:sz w:val="24"/>
          <w:szCs w:val="24"/>
        </w:rPr>
        <w:t xml:space="preserve">Phosphate solution (0.3 mol): </w:t>
      </w:r>
    </w:p>
    <w:p w:rsidR="000E22B9" w:rsidRPr="000E22B9" w:rsidRDefault="000E22B9" w:rsidP="00496597">
      <w:pPr>
        <w:spacing w:line="276" w:lineRule="auto"/>
        <w:rPr>
          <w:rFonts w:asciiTheme="majorBidi" w:hAnsiTheme="majorBidi" w:cstheme="majorBidi"/>
          <w:sz w:val="28"/>
          <w:szCs w:val="28"/>
        </w:rPr>
      </w:pPr>
      <w:r w:rsidRPr="000E22B9">
        <w:rPr>
          <w:rFonts w:asciiTheme="majorBidi" w:hAnsiTheme="majorBidi" w:cstheme="majorBidi"/>
          <w:sz w:val="28"/>
          <w:szCs w:val="28"/>
        </w:rPr>
        <w:t xml:space="preserve">Anhydrous Na2 HPO4 (42.6g) was dissolved in 1 litre bidsitlled water. </w:t>
      </w:r>
    </w:p>
    <w:p w:rsidR="000E22B9" w:rsidRPr="000E22B9" w:rsidRDefault="000E22B9" w:rsidP="00496597">
      <w:pPr>
        <w:spacing w:line="276" w:lineRule="auto"/>
        <w:rPr>
          <w:rFonts w:asciiTheme="majorBidi" w:hAnsiTheme="majorBidi" w:cstheme="majorBidi"/>
          <w:color w:val="1F4E79" w:themeColor="accent1" w:themeShade="80"/>
          <w:sz w:val="24"/>
          <w:szCs w:val="24"/>
        </w:rPr>
      </w:pPr>
      <w:r w:rsidRPr="000E22B9">
        <w:rPr>
          <w:rFonts w:asciiTheme="majorBidi" w:hAnsiTheme="majorBidi" w:cstheme="majorBidi"/>
          <w:color w:val="1F4E79" w:themeColor="accent1" w:themeShade="80"/>
          <w:sz w:val="28"/>
          <w:szCs w:val="28"/>
        </w:rPr>
        <w:t xml:space="preserve">- </w:t>
      </w:r>
      <w:r w:rsidRPr="000E22B9">
        <w:rPr>
          <w:rFonts w:asciiTheme="majorBidi" w:hAnsiTheme="majorBidi" w:cstheme="majorBidi"/>
          <w:color w:val="1F4E79" w:themeColor="accent1" w:themeShade="80"/>
          <w:sz w:val="24"/>
          <w:szCs w:val="24"/>
        </w:rPr>
        <w:t xml:space="preserve">DTNB reagent: </w:t>
      </w:r>
    </w:p>
    <w:p w:rsidR="000E22B9" w:rsidRPr="000E22B9" w:rsidRDefault="000E22B9" w:rsidP="00496597">
      <w:pPr>
        <w:spacing w:line="276" w:lineRule="auto"/>
        <w:rPr>
          <w:rFonts w:asciiTheme="majorBidi" w:hAnsiTheme="majorBidi" w:cstheme="majorBidi"/>
          <w:sz w:val="28"/>
          <w:szCs w:val="28"/>
        </w:rPr>
      </w:pPr>
      <w:r w:rsidRPr="000E22B9">
        <w:rPr>
          <w:rFonts w:asciiTheme="majorBidi" w:hAnsiTheme="majorBidi" w:cstheme="majorBidi"/>
          <w:sz w:val="28"/>
          <w:szCs w:val="28"/>
        </w:rPr>
        <w:t xml:space="preserve">40mg DTNB were added to 100 ml 1% sodium citrate. </w:t>
      </w:r>
    </w:p>
    <w:p w:rsidR="000E22B9" w:rsidRPr="000E22B9" w:rsidRDefault="000E22B9" w:rsidP="00496597">
      <w:pPr>
        <w:spacing w:line="276" w:lineRule="auto"/>
        <w:rPr>
          <w:rFonts w:asciiTheme="majorBidi" w:hAnsiTheme="majorBidi" w:cstheme="majorBidi"/>
          <w:b/>
          <w:bCs/>
          <w:color w:val="ED7D31" w:themeColor="accent2"/>
          <w:sz w:val="28"/>
          <w:szCs w:val="28"/>
        </w:rPr>
      </w:pPr>
      <w:r w:rsidRPr="000E22B9">
        <w:rPr>
          <w:rFonts w:asciiTheme="majorBidi" w:hAnsiTheme="majorBidi" w:cstheme="majorBidi"/>
          <w:b/>
          <w:bCs/>
          <w:color w:val="ED7D31" w:themeColor="accent2"/>
          <w:sz w:val="28"/>
          <w:szCs w:val="28"/>
        </w:rPr>
        <w:t>Procedure:</w:t>
      </w:r>
    </w:p>
    <w:p w:rsidR="000E22B9" w:rsidRPr="000E22B9" w:rsidRDefault="000E22B9" w:rsidP="00496597">
      <w:pPr>
        <w:spacing w:line="276" w:lineRule="auto"/>
        <w:rPr>
          <w:rFonts w:asciiTheme="majorBidi" w:hAnsiTheme="majorBidi" w:cstheme="majorBidi"/>
          <w:sz w:val="28"/>
          <w:szCs w:val="28"/>
        </w:rPr>
      </w:pPr>
      <w:r w:rsidRPr="000E22B9">
        <w:rPr>
          <w:rFonts w:asciiTheme="majorBidi" w:hAnsiTheme="majorBidi" w:cstheme="majorBidi"/>
          <w:sz w:val="28"/>
          <w:szCs w:val="28"/>
        </w:rPr>
        <w:t xml:space="preserve"> 0.5ml sample, 2 ml phosphate solution and 0.25 ml DTNB reagent were pipetted into the cuvette. For each series of samples, a blank was prepared containing 0.5ml distilled water instead of the sample. </w:t>
      </w:r>
    </w:p>
    <w:p w:rsidR="000E22B9" w:rsidRPr="000E22B9" w:rsidRDefault="000E22B9" w:rsidP="00496597">
      <w:pPr>
        <w:spacing w:line="276" w:lineRule="auto"/>
        <w:rPr>
          <w:rFonts w:asciiTheme="majorBidi" w:hAnsiTheme="majorBidi" w:cstheme="majorBidi"/>
          <w:b/>
          <w:bCs/>
          <w:color w:val="ED7D31" w:themeColor="accent2"/>
          <w:sz w:val="28"/>
          <w:szCs w:val="28"/>
        </w:rPr>
      </w:pPr>
      <w:r w:rsidRPr="000E22B9">
        <w:rPr>
          <w:rFonts w:asciiTheme="majorBidi" w:hAnsiTheme="majorBidi" w:cstheme="majorBidi"/>
          <w:b/>
          <w:bCs/>
          <w:color w:val="ED7D31" w:themeColor="accent2"/>
          <w:sz w:val="28"/>
          <w:szCs w:val="28"/>
        </w:rPr>
        <w:t>Standard GSH:</w:t>
      </w:r>
    </w:p>
    <w:p w:rsidR="000E22B9" w:rsidRPr="000E22B9" w:rsidRDefault="000E22B9" w:rsidP="00496597">
      <w:pPr>
        <w:spacing w:line="276" w:lineRule="auto"/>
        <w:rPr>
          <w:rFonts w:asciiTheme="majorBidi" w:hAnsiTheme="majorBidi" w:cstheme="majorBidi"/>
          <w:sz w:val="28"/>
          <w:szCs w:val="28"/>
        </w:rPr>
      </w:pPr>
      <w:r w:rsidRPr="000E22B9">
        <w:rPr>
          <w:rFonts w:asciiTheme="majorBidi" w:hAnsiTheme="majorBidi" w:cstheme="majorBidi"/>
          <w:sz w:val="28"/>
          <w:szCs w:val="28"/>
        </w:rPr>
        <w:t xml:space="preserve"> A standard stock solution of reduced GSH was prepared (5 mg/dl), serial diluted concentrations of GSH (2 -50 µg/dl) were prepared and treated exactly like 54 samples. A standard curve was drawn by plotting concentration of GSH against the corresponding absorbance at 412 nm (Fig.5). </w:t>
      </w:r>
    </w:p>
    <w:p w:rsidR="000E22B9" w:rsidRPr="000E22B9" w:rsidRDefault="000E22B9" w:rsidP="00496597">
      <w:pPr>
        <w:spacing w:line="276" w:lineRule="auto"/>
        <w:rPr>
          <w:rFonts w:asciiTheme="majorBidi" w:hAnsiTheme="majorBidi" w:cstheme="majorBidi"/>
          <w:b/>
          <w:bCs/>
          <w:color w:val="ED7D31" w:themeColor="accent2"/>
          <w:sz w:val="28"/>
          <w:szCs w:val="28"/>
        </w:rPr>
      </w:pPr>
      <w:r w:rsidRPr="000E22B9">
        <w:rPr>
          <w:rFonts w:asciiTheme="majorBidi" w:hAnsiTheme="majorBidi" w:cstheme="majorBidi"/>
          <w:b/>
          <w:bCs/>
          <w:color w:val="ED7D31" w:themeColor="accent2"/>
          <w:sz w:val="28"/>
          <w:szCs w:val="28"/>
        </w:rPr>
        <w:t>Calculation:</w:t>
      </w:r>
    </w:p>
    <w:p w:rsidR="00A31EC2" w:rsidRPr="00496597" w:rsidRDefault="000E22B9" w:rsidP="00496597">
      <w:pPr>
        <w:spacing w:line="276" w:lineRule="auto"/>
        <w:rPr>
          <w:rFonts w:asciiTheme="majorBidi" w:hAnsiTheme="majorBidi" w:cstheme="majorBidi"/>
          <w:sz w:val="28"/>
          <w:szCs w:val="28"/>
        </w:rPr>
      </w:pPr>
      <w:r w:rsidRPr="000E22B9">
        <w:rPr>
          <w:rFonts w:asciiTheme="majorBidi" w:hAnsiTheme="majorBidi" w:cstheme="majorBidi"/>
          <w:sz w:val="28"/>
          <w:szCs w:val="28"/>
        </w:rPr>
        <w:t xml:space="preserve"> Concentration of GSH in control and autistic plasma samples were obtained from the standard curve.</w:t>
      </w:r>
    </w:p>
    <w:p w:rsidR="00A31EC2" w:rsidRDefault="00A31EC2" w:rsidP="00A31EC2">
      <w:pPr>
        <w:spacing w:line="360" w:lineRule="auto"/>
        <w:jc w:val="center"/>
        <w:rPr>
          <w:rFonts w:asciiTheme="majorBidi" w:hAnsiTheme="majorBidi" w:cstheme="majorBidi"/>
          <w:b/>
          <w:bCs/>
          <w:sz w:val="36"/>
          <w:szCs w:val="36"/>
        </w:rPr>
      </w:pPr>
    </w:p>
    <w:p w:rsidR="00A31EC2" w:rsidRDefault="00A31EC2" w:rsidP="00A31EC2">
      <w:pPr>
        <w:spacing w:line="360" w:lineRule="auto"/>
        <w:jc w:val="center"/>
        <w:rPr>
          <w:rFonts w:asciiTheme="majorBidi" w:hAnsiTheme="majorBidi" w:cstheme="majorBidi"/>
          <w:b/>
          <w:bCs/>
          <w:sz w:val="36"/>
          <w:szCs w:val="36"/>
        </w:rPr>
      </w:pPr>
      <w:r w:rsidRPr="00A31EC2">
        <w:rPr>
          <w:rFonts w:asciiTheme="majorBidi" w:hAnsiTheme="majorBidi" w:cstheme="majorBidi"/>
          <w:b/>
          <w:bCs/>
          <w:sz w:val="36"/>
          <w:szCs w:val="36"/>
        </w:rPr>
        <w:lastRenderedPageBreak/>
        <w:t>Measurement of enzymatic activity of catalase</w:t>
      </w:r>
    </w:p>
    <w:p w:rsidR="00496597" w:rsidRPr="00496597" w:rsidRDefault="00496597" w:rsidP="00496597">
      <w:pPr>
        <w:spacing w:line="360" w:lineRule="auto"/>
        <w:jc w:val="center"/>
        <w:rPr>
          <w:rFonts w:asciiTheme="majorBidi" w:hAnsiTheme="majorBidi" w:cstheme="majorBidi"/>
          <w:b/>
          <w:bCs/>
          <w:i/>
          <w:iCs/>
          <w:sz w:val="36"/>
          <w:szCs w:val="36"/>
        </w:rPr>
      </w:pPr>
      <w:r w:rsidRPr="00496597">
        <w:rPr>
          <w:rFonts w:asciiTheme="majorBidi" w:hAnsiTheme="majorBidi" w:cstheme="majorBidi"/>
          <w:b/>
          <w:bCs/>
          <w:i/>
          <w:iCs/>
          <w:sz w:val="36"/>
          <w:szCs w:val="36"/>
        </w:rPr>
        <w:t>Chance (1954)</w:t>
      </w:r>
    </w:p>
    <w:p w:rsidR="00A31EC2" w:rsidRDefault="00A31EC2" w:rsidP="00A31EC2">
      <w:pPr>
        <w:spacing w:line="360" w:lineRule="auto"/>
        <w:rPr>
          <w:rFonts w:asciiTheme="majorBidi" w:hAnsiTheme="majorBidi" w:cstheme="majorBidi"/>
          <w:sz w:val="28"/>
          <w:szCs w:val="28"/>
        </w:rPr>
      </w:pPr>
    </w:p>
    <w:p w:rsidR="00A31EC2" w:rsidRPr="00A31EC2" w:rsidRDefault="00A31EC2" w:rsidP="00A31EC2">
      <w:pPr>
        <w:spacing w:line="360" w:lineRule="auto"/>
        <w:rPr>
          <w:rFonts w:asciiTheme="majorBidi" w:hAnsiTheme="majorBidi" w:cstheme="majorBidi"/>
          <w:sz w:val="28"/>
          <w:szCs w:val="28"/>
        </w:rPr>
      </w:pPr>
      <w:r w:rsidRPr="00A31EC2">
        <w:rPr>
          <w:rFonts w:asciiTheme="majorBidi" w:hAnsiTheme="majorBidi" w:cstheme="majorBidi"/>
          <w:sz w:val="28"/>
          <w:szCs w:val="28"/>
        </w:rPr>
        <w:t>Catalase was measured according to the method of Chance (1954) in which the rate of H2O2 dissociation / minute by the enzyme was followed through measuring the change in absorbance at 240nm.</w:t>
      </w:r>
    </w:p>
    <w:p w:rsidR="00A31EC2" w:rsidRPr="00A31EC2" w:rsidRDefault="00A31EC2" w:rsidP="00A31EC2">
      <w:pPr>
        <w:rPr>
          <w:rFonts w:asciiTheme="majorBidi" w:hAnsiTheme="majorBidi" w:cstheme="majorBidi"/>
          <w:b/>
          <w:bCs/>
          <w:color w:val="ED7D31" w:themeColor="accent2"/>
          <w:sz w:val="28"/>
          <w:szCs w:val="28"/>
        </w:rPr>
      </w:pPr>
      <w:r w:rsidRPr="00A31EC2">
        <w:rPr>
          <w:rFonts w:asciiTheme="majorBidi" w:hAnsiTheme="majorBidi" w:cstheme="majorBidi"/>
          <w:b/>
          <w:bCs/>
          <w:color w:val="ED7D31" w:themeColor="accent2"/>
          <w:sz w:val="28"/>
          <w:szCs w:val="28"/>
        </w:rPr>
        <w:t>Reagents:</w:t>
      </w:r>
    </w:p>
    <w:p w:rsidR="00496597" w:rsidRDefault="00A31EC2" w:rsidP="00A31EC2">
      <w:pPr>
        <w:spacing w:line="360" w:lineRule="auto"/>
        <w:rPr>
          <w:rFonts w:asciiTheme="majorBidi" w:hAnsiTheme="majorBidi" w:cstheme="majorBidi"/>
          <w:sz w:val="28"/>
          <w:szCs w:val="28"/>
        </w:rPr>
      </w:pPr>
      <w:r w:rsidRPr="00A31EC2">
        <w:rPr>
          <w:rFonts w:asciiTheme="majorBidi" w:hAnsiTheme="majorBidi" w:cstheme="majorBidi"/>
          <w:sz w:val="28"/>
          <w:szCs w:val="28"/>
        </w:rPr>
        <w:t>- H2O2</w:t>
      </w:r>
    </w:p>
    <w:p w:rsidR="00A31EC2" w:rsidRPr="00A31EC2" w:rsidRDefault="00A31EC2" w:rsidP="00A31EC2">
      <w:pPr>
        <w:spacing w:line="360" w:lineRule="auto"/>
        <w:rPr>
          <w:rFonts w:asciiTheme="majorBidi" w:hAnsiTheme="majorBidi" w:cstheme="majorBidi"/>
          <w:sz w:val="28"/>
          <w:szCs w:val="28"/>
        </w:rPr>
      </w:pPr>
      <w:r w:rsidRPr="00A31EC2">
        <w:rPr>
          <w:rFonts w:asciiTheme="majorBidi" w:hAnsiTheme="majorBidi" w:cstheme="majorBidi"/>
          <w:sz w:val="28"/>
          <w:szCs w:val="28"/>
        </w:rPr>
        <w:t xml:space="preserve"> - Sodium phosphate buffer pH 7.2 </w:t>
      </w:r>
    </w:p>
    <w:p w:rsidR="00A31EC2" w:rsidRPr="00A31EC2" w:rsidRDefault="00A31EC2" w:rsidP="00A31EC2">
      <w:pPr>
        <w:rPr>
          <w:rFonts w:asciiTheme="majorBidi" w:hAnsiTheme="majorBidi" w:cstheme="majorBidi"/>
          <w:b/>
          <w:bCs/>
          <w:color w:val="ED7D31" w:themeColor="accent2"/>
          <w:sz w:val="28"/>
          <w:szCs w:val="28"/>
        </w:rPr>
      </w:pPr>
      <w:r w:rsidRPr="00A31EC2">
        <w:rPr>
          <w:rFonts w:asciiTheme="majorBidi" w:hAnsiTheme="majorBidi" w:cstheme="majorBidi"/>
          <w:b/>
          <w:bCs/>
          <w:color w:val="ED7D31" w:themeColor="accent2"/>
          <w:sz w:val="28"/>
          <w:szCs w:val="28"/>
        </w:rPr>
        <w:t xml:space="preserve">Assay of Catalse: </w:t>
      </w:r>
    </w:p>
    <w:p w:rsidR="00A31EC2" w:rsidRDefault="00A31EC2" w:rsidP="00A31EC2">
      <w:pPr>
        <w:spacing w:line="360" w:lineRule="auto"/>
        <w:rPr>
          <w:rFonts w:asciiTheme="majorBidi" w:hAnsiTheme="majorBidi" w:cstheme="majorBidi"/>
          <w:sz w:val="28"/>
          <w:szCs w:val="28"/>
        </w:rPr>
      </w:pPr>
      <w:r w:rsidRPr="00A31EC2">
        <w:rPr>
          <w:rFonts w:asciiTheme="majorBidi" w:hAnsiTheme="majorBidi" w:cstheme="majorBidi"/>
          <w:sz w:val="28"/>
          <w:szCs w:val="28"/>
        </w:rPr>
        <w:t xml:space="preserve">- The reaction mixture contained in a total voume of 3 ml, 1.5 ml of 0.2 M sodium phosphate buffer pH 7.2, 1.2 ml of </w:t>
      </w:r>
      <w:r w:rsidR="006F07A7">
        <w:rPr>
          <w:rFonts w:asciiTheme="majorBidi" w:hAnsiTheme="majorBidi" w:cstheme="majorBidi"/>
          <w:sz w:val="28"/>
          <w:szCs w:val="28"/>
        </w:rPr>
        <w:t>0.5</w:t>
      </w:r>
      <w:r w:rsidRPr="00A31EC2">
        <w:rPr>
          <w:rFonts w:asciiTheme="majorBidi" w:hAnsiTheme="majorBidi" w:cstheme="majorBidi"/>
          <w:sz w:val="28"/>
          <w:szCs w:val="28"/>
        </w:rPr>
        <w:t>mM hydrogen peroxide and enzyme. The reaction was started by adding H2O2 and the rate of change in absorbance was measured at 240 nm for two minutes. Values were expressed as µ moles of H2O2 dissociated / minute/ ml plasma.</w:t>
      </w:r>
    </w:p>
    <w:sectPr w:rsidR="00A31EC2" w:rsidSect="00EB251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onsolas"/>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17CB7"/>
    <w:multiLevelType w:val="hybridMultilevel"/>
    <w:tmpl w:val="B5C6D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A374091"/>
    <w:multiLevelType w:val="hybridMultilevel"/>
    <w:tmpl w:val="84CC2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20"/>
  <w:characterSpacingControl w:val="doNotCompress"/>
  <w:compat/>
  <w:rsids>
    <w:rsidRoot w:val="00222963"/>
    <w:rsid w:val="0001130C"/>
    <w:rsid w:val="000C7DC7"/>
    <w:rsid w:val="000E22B9"/>
    <w:rsid w:val="00133680"/>
    <w:rsid w:val="001C76E8"/>
    <w:rsid w:val="00222963"/>
    <w:rsid w:val="003F2610"/>
    <w:rsid w:val="0040010B"/>
    <w:rsid w:val="00496597"/>
    <w:rsid w:val="004A5FE4"/>
    <w:rsid w:val="004B6E92"/>
    <w:rsid w:val="005610DF"/>
    <w:rsid w:val="005B6EE8"/>
    <w:rsid w:val="005C3F36"/>
    <w:rsid w:val="006F07A7"/>
    <w:rsid w:val="007950FC"/>
    <w:rsid w:val="009C5DA4"/>
    <w:rsid w:val="00A31EC2"/>
    <w:rsid w:val="00A47529"/>
    <w:rsid w:val="00C91C92"/>
    <w:rsid w:val="00CB060F"/>
    <w:rsid w:val="00CF4A86"/>
    <w:rsid w:val="00D10DE4"/>
    <w:rsid w:val="00EB251D"/>
    <w:rsid w:val="00F2707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5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22963"/>
  </w:style>
  <w:style w:type="paragraph" w:styleId="ListParagraph">
    <w:name w:val="List Paragraph"/>
    <w:basedOn w:val="Normal"/>
    <w:uiPriority w:val="34"/>
    <w:qFormat/>
    <w:rsid w:val="007950F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22963"/>
  </w:style>
  <w:style w:type="paragraph" w:styleId="ListParagraph">
    <w:name w:val="List Paragraph"/>
    <w:basedOn w:val="Normal"/>
    <w:uiPriority w:val="34"/>
    <w:qFormat/>
    <w:rsid w:val="007950F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Madina Asma Khemakhem</dc:creator>
  <cp:lastModifiedBy>emalshehri</cp:lastModifiedBy>
  <cp:revision>2</cp:revision>
  <cp:lastPrinted>2017-02-09T08:04:00Z</cp:lastPrinted>
  <dcterms:created xsi:type="dcterms:W3CDTF">2017-03-14T07:19:00Z</dcterms:created>
  <dcterms:modified xsi:type="dcterms:W3CDTF">2017-03-14T07:19:00Z</dcterms:modified>
</cp:coreProperties>
</file>