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674899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674899">
        <w:rPr>
          <w:rFonts w:ascii="Times New Roman" w:hAnsi="Times New Roman" w:hint="cs"/>
          <w:b/>
          <w:color w:val="auto"/>
          <w:rtl/>
        </w:rPr>
        <w:t xml:space="preserve"> 1435- 1436هـ 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ريم المطيري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(الأثنين من 12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1)  (الثلاثاء ( 8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10) ( الأربعاء 10- 12)  (الخميس 8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11)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ralmotaire@gmail.com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74899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إعلام سعودي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67489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تصل 222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A45C2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45C21" w:rsidRPr="004523A1" w:rsidRDefault="00A45C21" w:rsidP="00A45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u w:val="single"/>
                <w:rtl/>
                <w:lang w:bidi="ar-EG"/>
              </w:rPr>
            </w:pPr>
            <w:r w:rsidRPr="004523A1">
              <w:rPr>
                <w:rFonts w:ascii="Arial" w:hAnsi="Arial" w:cs="AL-Mohanad Bold"/>
                <w:sz w:val="28"/>
                <w:szCs w:val="28"/>
                <w:u w:val="single"/>
                <w:rtl/>
              </w:rPr>
              <w:t>استراتيجيات التعليم (التدريس) المطلوب استخدامها لتطوير تلك المعرفة</w:t>
            </w:r>
          </w:p>
          <w:p w:rsidR="00A45C21" w:rsidRPr="007841ED" w:rsidRDefault="00A45C21" w:rsidP="00A45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i/>
                <w:iCs/>
                <w:sz w:val="28"/>
                <w:szCs w:val="28"/>
                <w:rtl/>
                <w:lang w:bidi="ar-EG"/>
              </w:rPr>
            </w:pP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ا- </w:t>
            </w:r>
            <w:r w:rsidRPr="007841ED">
              <w:rPr>
                <w:rFonts w:ascii="Arial" w:hAnsi="Arial" w:cs="AL-Mohanad Bold" w:hint="cs"/>
                <w:i/>
                <w:iCs/>
                <w:sz w:val="28"/>
                <w:szCs w:val="28"/>
                <w:rtl/>
                <w:lang w:bidi="ar-EG"/>
              </w:rPr>
              <w:t>محاضرات نظرية الطالب يتم فيها التعريف بالمعلومات الأساسية في المقرر.</w:t>
            </w:r>
          </w:p>
          <w:p w:rsidR="00A45C21" w:rsidRPr="004523A1" w:rsidRDefault="00A45C21" w:rsidP="00A45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  <w:lang w:bidi="ar-EG"/>
              </w:rPr>
            </w:pPr>
            <w:r w:rsidRPr="007841ED">
              <w:rPr>
                <w:rFonts w:ascii="Arial" w:hAnsi="Arial" w:cs="AL-Mohanad Bold" w:hint="cs"/>
                <w:i/>
                <w:iCs/>
                <w:sz w:val="28"/>
                <w:szCs w:val="28"/>
                <w:rtl/>
                <w:lang w:bidi="ar-EG"/>
              </w:rPr>
              <w:t>ب- تكليف الطلاب</w:t>
            </w: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 بأعمال إضافية تتعلق بالمقرر.</w:t>
            </w:r>
          </w:p>
          <w:p w:rsidR="00A45C21" w:rsidRPr="004523A1" w:rsidRDefault="00A45C21" w:rsidP="00A45C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  <w:lang w:bidi="ar-EG"/>
              </w:rPr>
            </w:pP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>ج- ال</w:t>
            </w:r>
            <w:r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 xml:space="preserve">مناقشة الجماعية </w:t>
            </w:r>
            <w:r w:rsidRPr="004523A1">
              <w:rPr>
                <w:rFonts w:ascii="Arial" w:hAnsi="Arial" w:cs="AL-Mohanad Bold" w:hint="cs"/>
                <w:sz w:val="28"/>
                <w:szCs w:val="28"/>
                <w:rtl/>
                <w:lang w:bidi="ar-EG"/>
              </w:rPr>
              <w:t>.</w:t>
            </w:r>
          </w:p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674899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مذكرة من إعداد أستاذة المقرر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6553F3" w:rsidP="00026F4A">
      <w:pPr>
        <w:bidi/>
        <w:rPr>
          <w:rFonts w:ascii="Times New Roman" w:hAnsi="Times New Roman"/>
          <w:bCs/>
          <w:color w:val="auto"/>
        </w:rPr>
      </w:pPr>
      <w:r>
        <w:rPr>
          <w:rFonts w:ascii="Times New Roman" w:hAnsi="Times New Roman" w:hint="cs"/>
          <w:bCs/>
          <w:color w:val="auto"/>
          <w:rtl/>
        </w:rPr>
        <w:t>مواعيد الاختبار خاصة بشعبة 37906</w:t>
      </w: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5C15B2" w:rsidRPr="003F564D" w:rsidTr="0067226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5C15B2" w:rsidRPr="003F564D" w:rsidTr="0067226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5B2" w:rsidRPr="003F564D" w:rsidRDefault="005C15B2" w:rsidP="00672264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5-9 -11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4- 8 - 10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5C15B2" w:rsidRPr="003F564D" w:rsidTr="00BD1439">
        <w:trPr>
          <w:cantSplit/>
          <w:trHeight w:val="5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5B2" w:rsidRPr="003F564D" w:rsidRDefault="005C15B2" w:rsidP="00672264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F946C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F946C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</w:t>
            </w:r>
            <w:r w:rsidR="00BD143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5C15B2" w:rsidRPr="003F564D" w:rsidTr="0067226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15B2" w:rsidRPr="003F564D" w:rsidRDefault="005C15B2" w:rsidP="00672264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BD1439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3/2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5C15B2" w:rsidRPr="003F564D" w:rsidTr="0067226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15B2" w:rsidRPr="003F564D" w:rsidRDefault="005C15B2" w:rsidP="0067226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5C15B2" w:rsidRPr="003F564D" w:rsidTr="0067226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Default="005C15B2" w:rsidP="00672264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تنبيهات: لا يعاد الاختبار الا بتقرير طبي مع موافقة القسم  + لا يقبل الواجب بعد الموعد المحد د لأي عذر كان </w:t>
            </w:r>
          </w:p>
          <w:p w:rsidR="005C15B2" w:rsidRPr="003F564D" w:rsidRDefault="005C15B2" w:rsidP="00672264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 مشاركة الطالبة ونقاشاتها داخل قاعة المحاضرة 5 درجات.</w:t>
            </w:r>
          </w:p>
        </w:tc>
      </w:tr>
    </w:tbl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8288" w:type="dxa"/>
        <w:tblInd w:w="1629" w:type="dxa"/>
        <w:tblLayout w:type="fixed"/>
        <w:tblLook w:val="0000"/>
      </w:tblPr>
      <w:tblGrid>
        <w:gridCol w:w="6896"/>
        <w:gridCol w:w="1392"/>
      </w:tblGrid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شرح مفردات المقرر وأهدافه ومراجعه وتوزيع الدرجات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الصحافة السعودية + الطباعة والنشر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17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الصحافة الورقية والألكترونية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الإذاعة السعودية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الأختبار الفصلي الأول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التلفزيون السعودي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17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وكالة الأنباء السعودية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الهوية الإسلامية في الإعلام السعودي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السياسة والأنظمة الإعلامية في المملكة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 السعودي الخاص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17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الإنترنيت بالمملكة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صناعةالإعلام الالكتروني السعودي</w:t>
            </w:r>
          </w:p>
        </w:tc>
      </w:tr>
      <w:tr w:rsidR="005C15B2" w:rsidRPr="003F564D" w:rsidTr="005C15B2">
        <w:trPr>
          <w:gridAfter w:val="1"/>
          <w:wAfter w:w="1392" w:type="dxa"/>
          <w:cantSplit/>
          <w:trHeight w:val="445"/>
        </w:trPr>
        <w:tc>
          <w:tcPr>
            <w:tcW w:w="6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نقاش في وضع الإعلام السعودي الراهن </w:t>
            </w:r>
          </w:p>
        </w:tc>
      </w:tr>
      <w:tr w:rsidR="005C15B2" w:rsidRPr="003F564D" w:rsidTr="005C15B2">
        <w:trPr>
          <w:cantSplit/>
          <w:trHeight w:val="445"/>
        </w:trPr>
        <w:tc>
          <w:tcPr>
            <w:tcW w:w="8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15B2" w:rsidRPr="003F564D" w:rsidRDefault="005C15B2" w:rsidP="00672264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5C15B2">
      <w:pPr>
        <w:pStyle w:val="FreeForm"/>
        <w:bidi/>
        <w:ind w:left="5"/>
        <w:jc w:val="center"/>
        <w:rPr>
          <w:color w:val="auto"/>
          <w:sz w:val="24"/>
          <w:szCs w:val="24"/>
        </w:rPr>
      </w:pPr>
    </w:p>
    <w:p w:rsidR="00853C77" w:rsidRPr="005353B9" w:rsidRDefault="00853C77" w:rsidP="005C15B2">
      <w:pPr>
        <w:pStyle w:val="FreeFormB"/>
        <w:bidi/>
        <w:ind w:left="108" w:firstLine="1280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853C77" w:rsidP="005C15B2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لا يسمح للطالبة بالدخول للقاعة بعد مضي 10 دقائق من بدءها إلا بعذر تقتنع به أستاذة المقرر.</w:t>
      </w: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لا يقبل التكليف بعد الوقت المحدد لاستلامة.</w:t>
      </w: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في حال السرقة الأدبية تلغى درجة التكليف.</w:t>
      </w: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rtl/>
          <w:lang w:bidi="ar-SA"/>
        </w:rPr>
      </w:pPr>
      <w:r>
        <w:rPr>
          <w:rFonts w:hint="cs"/>
          <w:sz w:val="24"/>
          <w:szCs w:val="24"/>
          <w:rtl/>
          <w:lang w:bidi="ar-SA"/>
        </w:rPr>
        <w:t>درجة المشاركة لن تحصل عليها إلا من كانت فعالة في نقاشاتها البناءة داخل القاعة.</w:t>
      </w:r>
    </w:p>
    <w:p w:rsidR="005C15B2" w:rsidRDefault="005C15B2" w:rsidP="005C15B2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rPr>
          <w:sz w:val="24"/>
          <w:szCs w:val="24"/>
          <w:lang w:bidi="ar-SA"/>
        </w:rPr>
      </w:pPr>
      <w:r>
        <w:rPr>
          <w:rFonts w:hint="cs"/>
          <w:sz w:val="24"/>
          <w:szCs w:val="24"/>
          <w:rtl/>
          <w:lang w:bidi="ar-SA"/>
        </w:rPr>
        <w:t>البريد الألكتروني هو الوسيلة المعتمدة للتواصل مع الأستاذة.</w:t>
      </w:r>
    </w:p>
    <w:p w:rsidR="005C15B2" w:rsidRPr="005C15B2" w:rsidRDefault="005C15B2" w:rsidP="005C15B2">
      <w:pPr>
        <w:pStyle w:val="ListParagraph"/>
        <w:numPr>
          <w:ilvl w:val="0"/>
          <w:numId w:val="7"/>
        </w:numPr>
        <w:autoSpaceDE w:val="0"/>
        <w:autoSpaceDN w:val="0"/>
        <w:bidi/>
        <w:adjustRightInd w:val="0"/>
        <w:rPr>
          <w:rFonts w:ascii="Times New Roman" w:hAnsi="Times New Roman"/>
          <w:color w:val="auto"/>
          <w:rtl/>
        </w:rPr>
      </w:pPr>
      <w:r w:rsidRPr="005C15B2">
        <w:rPr>
          <w:rFonts w:ascii="Times New Roman" w:hAnsi="Times New Roman" w:hint="cs"/>
          <w:color w:val="auto"/>
          <w:rtl/>
        </w:rPr>
        <w:t>لن يصحح أي تكليف لا يتضمن اسم الطالبة ورقمها الجامعي.</w:t>
      </w:r>
    </w:p>
    <w:p w:rsidR="005C15B2" w:rsidRPr="00266230" w:rsidRDefault="005C15B2" w:rsidP="005C15B2">
      <w:pPr>
        <w:pStyle w:val="-11"/>
        <w:bidi/>
        <w:spacing w:before="100" w:beforeAutospacing="1" w:after="100" w:afterAutospacing="1" w:line="360" w:lineRule="auto"/>
        <w:ind w:left="2160"/>
        <w:rPr>
          <w:sz w:val="24"/>
          <w:szCs w:val="24"/>
          <w:lang w:bidi="ar-SA"/>
        </w:rPr>
      </w:pPr>
    </w:p>
    <w:p w:rsidR="00183F69" w:rsidRPr="005C15B2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5C15B2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CAD" w:rsidRDefault="00FB4CAD">
      <w:r>
        <w:separator/>
      </w:r>
    </w:p>
  </w:endnote>
  <w:endnote w:type="continuationSeparator" w:id="0">
    <w:p w:rsidR="00FB4CAD" w:rsidRDefault="00FB4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CAD" w:rsidRDefault="00FB4CAD">
      <w:r>
        <w:separator/>
      </w:r>
    </w:p>
  </w:footnote>
  <w:footnote w:type="continuationSeparator" w:id="0">
    <w:p w:rsidR="00FB4CAD" w:rsidRDefault="00FB4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719A5"/>
    <w:multiLevelType w:val="hybridMultilevel"/>
    <w:tmpl w:val="F12A66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9B773C"/>
    <w:multiLevelType w:val="hybridMultilevel"/>
    <w:tmpl w:val="03145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3904"/>
    <w:rsid w:val="00070A8C"/>
    <w:rsid w:val="000A2DE8"/>
    <w:rsid w:val="000A41C4"/>
    <w:rsid w:val="001078CD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31DE"/>
    <w:rsid w:val="00303308"/>
    <w:rsid w:val="003B30F8"/>
    <w:rsid w:val="003F564D"/>
    <w:rsid w:val="00456DDE"/>
    <w:rsid w:val="00473762"/>
    <w:rsid w:val="00477E53"/>
    <w:rsid w:val="004E3745"/>
    <w:rsid w:val="005213AB"/>
    <w:rsid w:val="00524EA4"/>
    <w:rsid w:val="005353B9"/>
    <w:rsid w:val="00547203"/>
    <w:rsid w:val="00566AF3"/>
    <w:rsid w:val="005A481C"/>
    <w:rsid w:val="005A690D"/>
    <w:rsid w:val="005C15B2"/>
    <w:rsid w:val="006061E7"/>
    <w:rsid w:val="00613218"/>
    <w:rsid w:val="00615B17"/>
    <w:rsid w:val="006461D7"/>
    <w:rsid w:val="006553F3"/>
    <w:rsid w:val="00670186"/>
    <w:rsid w:val="00674899"/>
    <w:rsid w:val="006B7C05"/>
    <w:rsid w:val="006F0D1F"/>
    <w:rsid w:val="00766FD6"/>
    <w:rsid w:val="007B644B"/>
    <w:rsid w:val="007E320D"/>
    <w:rsid w:val="007F2722"/>
    <w:rsid w:val="00805E88"/>
    <w:rsid w:val="00852241"/>
    <w:rsid w:val="00853464"/>
    <w:rsid w:val="00853C77"/>
    <w:rsid w:val="008841AE"/>
    <w:rsid w:val="008846D9"/>
    <w:rsid w:val="0088761E"/>
    <w:rsid w:val="00931959"/>
    <w:rsid w:val="00955F5D"/>
    <w:rsid w:val="009D54A2"/>
    <w:rsid w:val="00A45C21"/>
    <w:rsid w:val="00A87D55"/>
    <w:rsid w:val="00AD6D84"/>
    <w:rsid w:val="00B42097"/>
    <w:rsid w:val="00B46F8C"/>
    <w:rsid w:val="00B63A1D"/>
    <w:rsid w:val="00BD1439"/>
    <w:rsid w:val="00BE67CE"/>
    <w:rsid w:val="00C02411"/>
    <w:rsid w:val="00C15B49"/>
    <w:rsid w:val="00C24FD8"/>
    <w:rsid w:val="00CA0123"/>
    <w:rsid w:val="00CA0566"/>
    <w:rsid w:val="00CE52F4"/>
    <w:rsid w:val="00D158BC"/>
    <w:rsid w:val="00DB0AB2"/>
    <w:rsid w:val="00DC490B"/>
    <w:rsid w:val="00E366D5"/>
    <w:rsid w:val="00EF31B4"/>
    <w:rsid w:val="00F143B2"/>
    <w:rsid w:val="00F7703B"/>
    <w:rsid w:val="00F946C9"/>
    <w:rsid w:val="00FB4CAD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C1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62D09D-D83D-43C6-915D-45B56B4F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2315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MediaLab5-17</cp:lastModifiedBy>
  <cp:revision>6</cp:revision>
  <cp:lastPrinted>2013-11-28T10:11:00Z</cp:lastPrinted>
  <dcterms:created xsi:type="dcterms:W3CDTF">2014-09-09T08:30:00Z</dcterms:created>
  <dcterms:modified xsi:type="dcterms:W3CDTF">2014-09-16T06:49:00Z</dcterms:modified>
</cp:coreProperties>
</file>