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BF5A56" w:rsidRDefault="00E366D5" w:rsidP="00D95547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2"/>
          <w:szCs w:val="22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BF5A56">
        <w:rPr>
          <w:rFonts w:ascii="Times New Roman" w:hAnsi="Times New Roman" w:hint="cs"/>
          <w:bCs/>
          <w:color w:val="auto"/>
          <w:rtl/>
        </w:rPr>
        <w:t>:</w:t>
      </w:r>
      <w:r w:rsidR="00BF5A56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علم </w:t>
      </w:r>
      <w:r w:rsidR="00144D69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اجتماع </w:t>
      </w:r>
      <w:r w:rsidR="00D95547">
        <w:rPr>
          <w:rFonts w:ascii="Times New Roman" w:hAnsi="Times New Roman" w:hint="cs"/>
          <w:bCs/>
          <w:color w:val="auto"/>
          <w:sz w:val="22"/>
          <w:szCs w:val="22"/>
          <w:rtl/>
        </w:rPr>
        <w:t>التنمية والبيئة</w:t>
      </w:r>
    </w:p>
    <w:p w:rsidR="00F728D7" w:rsidRDefault="00026F4A" w:rsidP="00D9554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</w:t>
      </w:r>
      <w:r w:rsidR="00511BCC" w:rsidRPr="00511BCC">
        <w:rPr>
          <w:rFonts w:ascii="Times New Roman" w:hAnsi="Times New Roman"/>
          <w:bCs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الفصل الدراسي:</w:t>
      </w:r>
      <w:r w:rsidR="00F728D7">
        <w:rPr>
          <w:rFonts w:ascii="Times New Roman" w:hAnsi="Times New Roman" w:hint="cs"/>
          <w:bCs/>
          <w:color w:val="auto"/>
          <w:rtl/>
        </w:rPr>
        <w:t>ال</w:t>
      </w:r>
      <w:r w:rsidR="00D95547">
        <w:rPr>
          <w:rFonts w:ascii="Times New Roman" w:hAnsi="Times New Roman" w:hint="cs"/>
          <w:bCs/>
          <w:color w:val="auto"/>
          <w:rtl/>
        </w:rPr>
        <w:t>أول</w:t>
      </w:r>
    </w:p>
    <w:p w:rsidR="00853C77" w:rsidRPr="005353B9" w:rsidRDefault="00853C77" w:rsidP="00D95547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D95547">
        <w:rPr>
          <w:rFonts w:ascii="Times New Roman" w:hAnsi="Times New Roman" w:hint="cs"/>
          <w:b/>
          <w:color w:val="auto"/>
          <w:rtl/>
        </w:rPr>
        <w:t>37</w:t>
      </w:r>
      <w:r w:rsidR="00FA1ED8">
        <w:rPr>
          <w:rFonts w:ascii="Times New Roman" w:hAnsi="Times New Roman"/>
          <w:bCs/>
          <w:color w:val="auto"/>
        </w:rPr>
        <w:t>/</w:t>
      </w:r>
      <w:r w:rsidR="00D95547">
        <w:rPr>
          <w:rFonts w:ascii="Times New Roman" w:hAnsi="Times New Roman" w:hint="cs"/>
          <w:bCs/>
          <w:color w:val="auto"/>
          <w:rtl/>
        </w:rPr>
        <w:t>38</w:t>
      </w:r>
    </w:p>
    <w:p w:rsidR="00853C77" w:rsidRDefault="00853C77" w:rsidP="00026F4A">
      <w:pPr>
        <w:bidi/>
        <w:rPr>
          <w:rFonts w:ascii="Times New Roman" w:hAnsi="Times New Roman" w:hint="cs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3735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735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نجلاء السهلي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F728D7" w:rsidP="00504FF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504F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خميس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504F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 w:rsidR="00504F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FE6C9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</w:t>
            </w:r>
            <w:r w:rsidR="00FE6C9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FE6C9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</w:t>
            </w:r>
            <w:r w:rsidR="00D544B8">
              <w:rPr>
                <w:rFonts w:ascii="Times New Roman" w:hAnsi="Times New Roman"/>
                <w:bCs/>
                <w:color w:val="auto"/>
                <w:szCs w:val="24"/>
              </w:rPr>
              <w:t>a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lsahli</w:t>
            </w:r>
            <w:r w:rsidR="00D544B8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3B500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اجتماع </w:t>
            </w:r>
            <w:r w:rsidR="003B500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التنمية والبيئة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FA0424" w:rsidP="00A217B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A217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303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FA0424" w:rsidRPr="00FA0424" w:rsidRDefault="00FA0424" w:rsidP="003539C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معرفة الطالب </w:t>
                  </w:r>
                  <w:r w:rsidR="003539C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بقضايا التنمية الاقتصادية والاجتماعية والتنمية المستدامة.</w:t>
                  </w:r>
                </w:p>
                <w:p w:rsidR="00B25115" w:rsidRPr="00031EA4" w:rsidRDefault="00FA0424" w:rsidP="003539C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المحاضرة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الحوار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المناقشة </w:t>
                  </w:r>
                </w:p>
                <w:p w:rsidR="00B25115" w:rsidRPr="00621ED0" w:rsidRDefault="00FA0424" w:rsidP="00DC029D">
                  <w:pPr>
                    <w:pStyle w:val="a5"/>
                    <w:numPr>
                      <w:ilvl w:val="0"/>
                      <w:numId w:val="3"/>
                    </w:numPr>
                    <w:bidi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التعليم الذاتي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الاختبارات الفصلية أثناء الفصل الدراسي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 النهائي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والحوارات المستمرة مع الطلاب</w:t>
                  </w:r>
                </w:p>
                <w:p w:rsidR="00621ED0" w:rsidRDefault="00FA0424" w:rsidP="00FA0424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المراجعات الدورية لما سبق دراسته للوقوف علي مستوي تحصيل الطلاب ومدي استيعابهم للمادة العلمية المتضمنة في إطار </w:t>
                  </w:r>
                </w:p>
                <w:p w:rsidR="006D4441" w:rsidRPr="00031EA4" w:rsidRDefault="00FA0424" w:rsidP="00621ED0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المقرر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العصف الذهني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نمط التعامل مع الأسئلة المفاجئة</w:t>
                  </w:r>
                </w:p>
                <w:p w:rsidR="006D4441" w:rsidRPr="006E1E56" w:rsidRDefault="00FA0424" w:rsidP="00DC029D">
                  <w:pPr>
                    <w:pStyle w:val="a5"/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أسلوب حل المشكلات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تشكيل مجموعات عمل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الحلول المبتكرة وغير التقليدية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Pr="00621ED0" w:rsidRDefault="00621ED0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D379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Pr="00621ED0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تشجيع الطلاب علي محاكاة دور عضو هيئة التدريس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  <w:p w:rsidR="00B25115" w:rsidRPr="006E1E56" w:rsidRDefault="00621ED0" w:rsidP="00DC029D">
                  <w:pPr>
                    <w:pStyle w:val="a5"/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التحاور حول موضوعات المقرر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Default="00B25115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pStyle w:val="a5"/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E1E56" w:rsidRDefault="006E1E56" w:rsidP="006E1E5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390471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6E1E56" w:rsidRPr="006E1E56" w:rsidRDefault="006E1E56" w:rsidP="00DC029D">
                  <w:pPr>
                    <w:pStyle w:val="a5"/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الوقوف علي مدي تفاعل الطلاب مع زملائهم ومدي تقدم مهاراتهم الاتصالية كل على حده والمعوقات التي قد تحول دون ذلك</w:t>
                  </w:r>
                </w:p>
                <w:p w:rsidR="003F50EE" w:rsidRPr="006E1E56" w:rsidRDefault="006E1E56" w:rsidP="00DC029D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مدي قدرة الطلاب علي العمل بروح الفريق في إطار مجموعات العمل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E32EB2" w:rsidRPr="00E32EB2" w:rsidRDefault="00E32EB2" w:rsidP="00E32EB2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E32EB2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كتابة التقارير البحثية حول موضوعات المقرر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التحاور حول موضوعات المقرر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الواجبات المنزلية والتكليفات بالبحوث  العلمية المكتبية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التصورات الإبداعية والحلول المبتكرة وغير التقليدية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D3797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الكتاب (الكتب ) الرئيسة المطلوبة: </w:t>
            </w:r>
          </w:p>
          <w:p w:rsidR="00801103" w:rsidRDefault="00E32EB2" w:rsidP="003539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="Times New Roman" w:hAnsi="Times New Roman"/>
                <w:color w:val="auto"/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1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حفظي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,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إحسان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 ) 1111 ( :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علم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اجتماع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التنمية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,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دار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المعرفة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الجامعية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</w:rPr>
              <w:t xml:space="preserve">, </w:t>
            </w:r>
            <w:r w:rsidR="003539C6">
              <w:rPr>
                <w:rFonts w:ascii="Traditional Arabic" w:eastAsia="Times New Roman" w:hAnsi="Traditional Arabic" w:cs="Traditional Arabic"/>
                <w:color w:val="auto"/>
                <w:rtl/>
              </w:rPr>
              <w:t>الإسكندرية</w:t>
            </w:r>
          </w:p>
          <w:p w:rsidR="003539C6" w:rsidRDefault="003539C6" w:rsidP="003539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="Times New Roman" w:hAnsi="Times New Roman"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خليل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,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منى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) 1111 (: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التنمية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الاجتماعية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في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إطار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المتغيرات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المحلية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والعالمية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>,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المكتب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الجامعي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الحديث</w:t>
            </w:r>
            <w:r>
              <w:rPr>
                <w:rFonts w:ascii="Traditional Arabic" w:eastAsia="Times New Roman" w:hAnsi="Traditional Arabic" w:cs="Traditional Arabic"/>
                <w:color w:val="auto"/>
              </w:rPr>
              <w:t xml:space="preserve">, </w:t>
            </w:r>
            <w:r>
              <w:rPr>
                <w:rFonts w:ascii="Traditional Arabic" w:eastAsia="Times New Roman" w:hAnsi="Traditional Arabic" w:cs="Traditional Arabic"/>
                <w:color w:val="auto"/>
                <w:rtl/>
              </w:rPr>
              <w:t>الإسكندرية</w:t>
            </w:r>
          </w:p>
          <w:p w:rsidR="007826AA" w:rsidRPr="00031EA4" w:rsidRDefault="007826AA" w:rsidP="007826A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="Times New Roman" w:hAnsi="Times New Roman"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color w:val="auto"/>
                <w:sz w:val="28"/>
                <w:szCs w:val="28"/>
                <w:rtl/>
              </w:rPr>
              <w:t>التنمية والتخلف:السيد الحسيني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- نفسها .</w:t>
            </w:r>
          </w:p>
          <w:p w:rsidR="00BA5AE1" w:rsidRPr="00031EA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031EA4">
              <w:rPr>
                <w:sz w:val="28"/>
                <w:szCs w:val="28"/>
                <w:rtl/>
              </w:rPr>
              <w:t>المواد الالكترونية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 xml:space="preserve"> و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الاتحاد الدولي للأخصائيين الاجتماعيين (</w:t>
            </w:r>
            <w:r w:rsidRPr="00E32EB2">
              <w:rPr>
                <w:sz w:val="28"/>
                <w:szCs w:val="28"/>
              </w:rPr>
              <w:t>FISW.COM</w:t>
            </w:r>
            <w:r w:rsidRPr="00E32EB2">
              <w:rPr>
                <w:rFonts w:hint="cs"/>
                <w:sz w:val="28"/>
                <w:szCs w:val="28"/>
                <w:rtl/>
              </w:rPr>
              <w:t>)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5-</w:t>
            </w:r>
            <w:r w:rsidRPr="00031EA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031EA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32EB2">
              <w:rPr>
                <w:sz w:val="28"/>
                <w:szCs w:val="28"/>
                <w:rtl/>
              </w:rPr>
              <w:t xml:space="preserve">المرافق </w:t>
            </w:r>
            <w:r w:rsidRPr="00E32EB2">
              <w:rPr>
                <w:rFonts w:hint="cs"/>
                <w:sz w:val="28"/>
                <w:szCs w:val="28"/>
                <w:rtl/>
              </w:rPr>
              <w:t>التعليمية:</w:t>
            </w:r>
          </w:p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E32EB2" w:rsidRPr="00E32EB2" w:rsidRDefault="00E32EB2" w:rsidP="00DC029D">
            <w:pPr>
              <w:numPr>
                <w:ilvl w:val="0"/>
                <w:numId w:val="30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المحاضرات</w:t>
            </w:r>
          </w:p>
          <w:p w:rsidR="00E32EB2" w:rsidRPr="00E32EB2" w:rsidRDefault="00E32EB2" w:rsidP="00DC029D">
            <w:pPr>
              <w:numPr>
                <w:ilvl w:val="0"/>
                <w:numId w:val="31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المكتبة</w:t>
            </w:r>
          </w:p>
          <w:p w:rsidR="00E32EB2" w:rsidRPr="00E32EB2" w:rsidRDefault="00E32EB2" w:rsidP="00DC029D">
            <w:pPr>
              <w:numPr>
                <w:ilvl w:val="0"/>
                <w:numId w:val="32"/>
              </w:numPr>
              <w:bidi/>
              <w:jc w:val="lowKashida"/>
              <w:rPr>
                <w:sz w:val="28"/>
                <w:szCs w:val="28"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مكتب أستاذ المقر</w:t>
            </w:r>
            <w:r>
              <w:rPr>
                <w:rFonts w:hint="cs"/>
                <w:sz w:val="28"/>
                <w:szCs w:val="28"/>
                <w:rtl/>
              </w:rPr>
              <w:t>ر</w:t>
            </w:r>
            <w:r w:rsidR="007E1EB3" w:rsidRPr="00E32EB2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</w:p>
          <w:p w:rsidR="00257E4E" w:rsidRPr="00CB3E04" w:rsidRDefault="00257E4E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E32EB2" w:rsidRDefault="00E32EB2" w:rsidP="007E1EB3">
            <w:pPr>
              <w:pStyle w:val="TableGrid1"/>
              <w:bidi/>
              <w:jc w:val="center"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E32EB2">
              <w:rPr>
                <w:sz w:val="28"/>
                <w:szCs w:val="28"/>
                <w:rtl/>
              </w:rPr>
              <w:t>المرافق المطلوبة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Pr="00792F7E" w:rsidRDefault="003A504C" w:rsidP="003A504C">
            <w:pPr>
              <w:bidi/>
              <w:ind w:left="360"/>
              <w:jc w:val="lowKashida"/>
              <w:rPr>
                <w:rFonts w:ascii="Arial" w:hAnsi="Arial" w:cs="AL-Mohanad Bold"/>
                <w:sz w:val="18"/>
                <w:szCs w:val="18"/>
              </w:rPr>
            </w:pP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</w:t>
            </w:r>
            <w:r w:rsidRPr="003A504C">
              <w:rPr>
                <w:sz w:val="28"/>
                <w:szCs w:val="28"/>
                <w:rtl/>
              </w:rPr>
              <w:t xml:space="preserve"> أجهزة الكمبيوتر</w:t>
            </w:r>
            <w:r w:rsidRPr="003A504C">
              <w:rPr>
                <w:rFonts w:hint="cs"/>
                <w:sz w:val="28"/>
                <w:szCs w:val="28"/>
                <w:rtl/>
              </w:rPr>
              <w:t>: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257E4E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 متوافرة بالمكتبة المركزية للجامعة لإتاحة الفرصة للطلاب للإطلاع علي المواقع والمنتديات ذات الصلة بموضوعات المقرر علي الشبكة الدولية للمعلومات ( الإنترنت ).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صادر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أخرى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وتشمل اقتراح تجهيز القاعات الدراسية بأجهزة عرض</w:t>
            </w:r>
            <w:r w:rsidRPr="003A504C">
              <w:rPr>
                <w:sz w:val="28"/>
                <w:szCs w:val="28"/>
              </w:rPr>
              <w:t xml:space="preserve">Data Show 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والتي توفر بدائل مختلفة لعرض المقرر من خلال شرائح برامج كالـ</w:t>
            </w:r>
            <w:r w:rsidRPr="003A504C">
              <w:rPr>
                <w:sz w:val="28"/>
                <w:szCs w:val="28"/>
              </w:rPr>
              <w:t>PowerPoint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والذي يتيح إضافة تأثيرات معينة ( صوتية ومرئية ) من شأنها جذب انتباه الطلاب والارتقاء بمستوي تحصيلهم الدراسي .  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      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3A504C">
              <w:rPr>
                <w:sz w:val="28"/>
                <w:szCs w:val="28"/>
                <w:rtl/>
              </w:rPr>
              <w:t xml:space="preserve">استراتيجيات الحصول على </w:t>
            </w:r>
            <w:r w:rsidRPr="003A504C">
              <w:rPr>
                <w:rFonts w:hint="cs"/>
                <w:sz w:val="28"/>
                <w:szCs w:val="28"/>
                <w:rtl/>
              </w:rPr>
              <w:t>تغذية راجعة عن جودة التعليم :</w:t>
            </w:r>
          </w:p>
          <w:p w:rsidR="003A504C" w:rsidRPr="003A504C" w:rsidRDefault="003A504C" w:rsidP="00DC029D">
            <w:pPr>
              <w:numPr>
                <w:ilvl w:val="0"/>
                <w:numId w:val="33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الطالب: في نهاية كل فصل دراسي علي حده </w:t>
            </w:r>
          </w:p>
          <w:p w:rsidR="003A504C" w:rsidRPr="00856608" w:rsidRDefault="003A504C" w:rsidP="00DC029D">
            <w:pPr>
              <w:numPr>
                <w:ilvl w:val="0"/>
                <w:numId w:val="34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عضو هيئة التدريس: عقب كل محاضرة وعلي امتداد الفصل الدراسي بأكمله </w:t>
            </w:r>
          </w:p>
          <w:p w:rsidR="003A504C" w:rsidRPr="00ED3797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الاستراتيجيات الأخرى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المتبعة في 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تقييم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عملية </w:t>
            </w:r>
            <w:r w:rsidRPr="00ED3797">
              <w:rPr>
                <w:b/>
                <w:bCs/>
                <w:sz w:val="28"/>
                <w:szCs w:val="28"/>
                <w:rtl/>
              </w:rPr>
              <w:t>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إما عن طريق الأستاذ أو عن طريق القسم: </w:t>
            </w:r>
          </w:p>
          <w:p w:rsidR="003A504C" w:rsidRPr="003A504C" w:rsidRDefault="003A504C" w:rsidP="00DC029D">
            <w:pPr>
              <w:numPr>
                <w:ilvl w:val="0"/>
                <w:numId w:val="35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استطلاع آراء الطلاب حول عملية التدريس</w:t>
            </w:r>
          </w:p>
          <w:p w:rsidR="003A504C" w:rsidRPr="003A504C" w:rsidRDefault="003A504C" w:rsidP="00DC029D">
            <w:pPr>
              <w:numPr>
                <w:ilvl w:val="0"/>
                <w:numId w:val="36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الإلمام بخبرات الزملاء الآخرين بالقسم والأقسام الأخرى </w:t>
            </w:r>
          </w:p>
          <w:p w:rsidR="00856608" w:rsidRPr="00856608" w:rsidRDefault="003A504C" w:rsidP="00DC029D">
            <w:pPr>
              <w:numPr>
                <w:ilvl w:val="0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الإطلاع علي الكتابات الحديثة في المقرر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>عمليات تحسين 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856608" w:rsidRPr="00856608" w:rsidRDefault="00856608" w:rsidP="00DC029D">
            <w:pPr>
              <w:numPr>
                <w:ilvl w:val="1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حضور ورش العمل ذات الصلة بتطوير استراتيجيات التدريس</w:t>
            </w:r>
          </w:p>
          <w:p w:rsidR="003A504C" w:rsidRDefault="00856608" w:rsidP="00856608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مراجعة ذوي الخبرة من أهل الاختصاص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عمليات التحقق من مستويات إنجاز الط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لبة:</w:t>
            </w:r>
          </w:p>
          <w:p w:rsidR="00856608" w:rsidRPr="00856608" w:rsidRDefault="00856608" w:rsidP="00DC029D">
            <w:pPr>
              <w:numPr>
                <w:ilvl w:val="1"/>
                <w:numId w:val="38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الاختبارات الفصلية أثناء الفصل الدراسي</w:t>
            </w:r>
          </w:p>
          <w:p w:rsidR="00856608" w:rsidRPr="00856608" w:rsidRDefault="00856608" w:rsidP="00DC029D">
            <w:pPr>
              <w:numPr>
                <w:ilvl w:val="1"/>
                <w:numId w:val="39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 النهائي</w:t>
            </w:r>
          </w:p>
          <w:p w:rsidR="00856608" w:rsidRPr="00856608" w:rsidRDefault="00856608" w:rsidP="00DC029D">
            <w:pPr>
              <w:numPr>
                <w:ilvl w:val="1"/>
                <w:numId w:val="40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المناقشات والحوارات المستمرة مع الطلاب</w:t>
            </w:r>
          </w:p>
          <w:p w:rsidR="003A504C" w:rsidRPr="003A504C" w:rsidRDefault="00856608" w:rsidP="00856608">
            <w:p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المراجعات الدورية لما سبق دراسته للوقوف علي مستوي تحصيل الطلاب ومدي استيعابهم للمادة العلمية المتضمنة في إطار المقرر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3A504C" w:rsidRPr="00792F7E" w:rsidRDefault="003A504C" w:rsidP="003A504C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Pr="007B0520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ز) </w:t>
            </w:r>
            <w:r w:rsidRPr="007B0520">
              <w:rPr>
                <w:b/>
                <w:bCs/>
                <w:sz w:val="28"/>
                <w:szCs w:val="28"/>
                <w:rtl/>
              </w:rPr>
              <w:t>تقييم المقرر</w:t>
            </w: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0520">
              <w:rPr>
                <w:b/>
                <w:bCs/>
                <w:sz w:val="28"/>
                <w:szCs w:val="28"/>
                <w:rtl/>
              </w:rPr>
              <w:t>وعمليات التحسين:</w:t>
            </w:r>
          </w:p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6B43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6B439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سادس29\1\1437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  <w:r w:rsidR="006B439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19\3\1437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6B439A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4C209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405D4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405D44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6608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  <w:r w:rsidRPr="00ED3797">
        <w:rPr>
          <w:b/>
          <w:bCs/>
          <w:sz w:val="28"/>
          <w:szCs w:val="28"/>
          <w:rtl/>
        </w:rPr>
        <w:t>– المواضيع المطلوب بحثها وشمولها</w:t>
      </w:r>
      <w:r w:rsidRPr="00ED3797">
        <w:rPr>
          <w:rFonts w:hint="cs"/>
          <w:b/>
          <w:bCs/>
          <w:sz w:val="28"/>
          <w:szCs w:val="28"/>
          <w:rtl/>
        </w:rPr>
        <w:t>:</w:t>
      </w:r>
    </w:p>
    <w:p w:rsidR="00856608" w:rsidRPr="00ED3797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10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203"/>
        <w:gridCol w:w="1080"/>
        <w:gridCol w:w="1687"/>
      </w:tblGrid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203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وضوعات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المقرر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D3797">
              <w:rPr>
                <w:b/>
                <w:bCs/>
                <w:sz w:val="26"/>
                <w:szCs w:val="26"/>
                <w:rtl/>
              </w:rPr>
              <w:t>ساعات الاتصال المخصصة</w:t>
            </w:r>
          </w:p>
          <w:p w:rsidR="00856608" w:rsidRPr="00ED3797" w:rsidRDefault="00856608" w:rsidP="003A2A14">
            <w:pPr>
              <w:bidi/>
              <w:jc w:val="center"/>
              <w:rPr>
                <w:b/>
                <w:bCs/>
                <w:rtl/>
              </w:rPr>
            </w:pP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(</w:t>
            </w:r>
            <w:r w:rsidRPr="00ED3797">
              <w:rPr>
                <w:b/>
                <w:bCs/>
                <w:sz w:val="26"/>
                <w:szCs w:val="26"/>
                <w:rtl/>
              </w:rPr>
              <w:t>ا</w:t>
            </w: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لإعطاء الفعلية)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DC36E0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مفهوم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التنمية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والمفاهيم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ذات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العلاقة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DC36E0" w:rsidP="00DC36E0">
            <w:pPr>
              <w:ind w:left="792"/>
              <w:jc w:val="righ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32"/>
                <w:szCs w:val="32"/>
                <w:rtl/>
              </w:rPr>
              <w:t>علاقة</w:t>
            </w:r>
            <w:r>
              <w:rPr>
                <w:rFonts w:ascii="Times New Roman" w:eastAsia="Times New Roman" w:hAnsi="Times New Roman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32"/>
                <w:szCs w:val="32"/>
                <w:rtl/>
              </w:rPr>
              <w:t>الانسان</w:t>
            </w:r>
            <w:r>
              <w:rPr>
                <w:rFonts w:ascii="Times New Roman" w:eastAsia="Times New Roman" w:hAnsi="Times New Roman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32"/>
                <w:szCs w:val="32"/>
                <w:rtl/>
              </w:rPr>
              <w:t>بالبيئة</w:t>
            </w:r>
            <w:r>
              <w:rPr>
                <w:rFonts w:ascii="Times New Roman" w:eastAsia="Times New Roman" w:hAnsi="Times New Roman"/>
                <w:color w:val="auto"/>
                <w:sz w:val="32"/>
                <w:szCs w:val="3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DC36E0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نظريات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التنمية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في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مجال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علم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الاجتماع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DC36E0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مفهوم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التنمية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المستدامة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DC36E0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المتطلبات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الأساسية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للتنمية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المستدامة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203" w:type="dxa"/>
            <w:shd w:val="clear" w:color="auto" w:fill="auto"/>
          </w:tcPr>
          <w:p w:rsidR="00856608" w:rsidRDefault="00DC36E0" w:rsidP="003A2A14">
            <w:pPr>
              <w:bidi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معوقات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التنمية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المستدامة</w:t>
            </w:r>
          </w:p>
          <w:p w:rsidR="006A57AA" w:rsidRDefault="006A57AA" w:rsidP="006A57AA">
            <w:pPr>
              <w:bidi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قضايا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ومظاهر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التلوث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البيئي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الطبيعي</w:t>
            </w:r>
          </w:p>
          <w:p w:rsidR="00286E5B" w:rsidRPr="00856608" w:rsidRDefault="00286E5B" w:rsidP="00286E5B">
            <w:pPr>
              <w:bidi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التلوث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الثقافي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rtl/>
              </w:rPr>
              <w:t>والاجتماعي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rPr>
          <w:trHeight w:val="70"/>
        </w:trPr>
        <w:tc>
          <w:tcPr>
            <w:tcW w:w="7734" w:type="dxa"/>
            <w:gridSpan w:val="2"/>
            <w:shd w:val="clear" w:color="auto" w:fill="auto"/>
            <w:vAlign w:val="center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30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074" w:rsidRDefault="00406074">
      <w:r>
        <w:separator/>
      </w:r>
    </w:p>
  </w:endnote>
  <w:endnote w:type="continuationSeparator" w:id="1">
    <w:p w:rsidR="00406074" w:rsidRDefault="0040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074" w:rsidRDefault="00406074">
      <w:r>
        <w:separator/>
      </w:r>
    </w:p>
  </w:footnote>
  <w:footnote w:type="continuationSeparator" w:id="1">
    <w:p w:rsidR="00406074" w:rsidRDefault="00406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77A"/>
    <w:multiLevelType w:val="hybridMultilevel"/>
    <w:tmpl w:val="6EEE1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53159"/>
    <w:multiLevelType w:val="hybridMultilevel"/>
    <w:tmpl w:val="C68C6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604E8"/>
    <w:multiLevelType w:val="hybridMultilevel"/>
    <w:tmpl w:val="B54EF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B2E18"/>
    <w:multiLevelType w:val="hybridMultilevel"/>
    <w:tmpl w:val="14323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4136B"/>
    <w:multiLevelType w:val="hybridMultilevel"/>
    <w:tmpl w:val="55EE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E132E"/>
    <w:multiLevelType w:val="hybridMultilevel"/>
    <w:tmpl w:val="E9FE5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90ACE"/>
    <w:multiLevelType w:val="hybridMultilevel"/>
    <w:tmpl w:val="77324A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D3F8A"/>
    <w:multiLevelType w:val="hybridMultilevel"/>
    <w:tmpl w:val="BD9EE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E2DA1"/>
    <w:multiLevelType w:val="hybridMultilevel"/>
    <w:tmpl w:val="196ED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B65E91"/>
    <w:multiLevelType w:val="hybridMultilevel"/>
    <w:tmpl w:val="40AA05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E90593"/>
    <w:multiLevelType w:val="hybridMultilevel"/>
    <w:tmpl w:val="17AEB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104F3"/>
    <w:multiLevelType w:val="hybridMultilevel"/>
    <w:tmpl w:val="C7F0C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C6E59"/>
    <w:multiLevelType w:val="hybridMultilevel"/>
    <w:tmpl w:val="94C8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375AF"/>
    <w:multiLevelType w:val="hybridMultilevel"/>
    <w:tmpl w:val="F80EF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6369B8"/>
    <w:multiLevelType w:val="hybridMultilevel"/>
    <w:tmpl w:val="0660D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657F9"/>
    <w:multiLevelType w:val="hybridMultilevel"/>
    <w:tmpl w:val="41BE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6A3545"/>
    <w:multiLevelType w:val="hybridMultilevel"/>
    <w:tmpl w:val="8E5CF2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FB303A"/>
    <w:multiLevelType w:val="hybridMultilevel"/>
    <w:tmpl w:val="BC688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E19E7"/>
    <w:multiLevelType w:val="hybridMultilevel"/>
    <w:tmpl w:val="B50E4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7521BC"/>
    <w:multiLevelType w:val="hybridMultilevel"/>
    <w:tmpl w:val="9DE03A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E69DB"/>
    <w:multiLevelType w:val="hybridMultilevel"/>
    <w:tmpl w:val="95185F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81B0F"/>
    <w:multiLevelType w:val="hybridMultilevel"/>
    <w:tmpl w:val="AB845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450855"/>
    <w:multiLevelType w:val="hybridMultilevel"/>
    <w:tmpl w:val="CA268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3C1D5B"/>
    <w:multiLevelType w:val="hybridMultilevel"/>
    <w:tmpl w:val="D38A0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3832E1"/>
    <w:multiLevelType w:val="hybridMultilevel"/>
    <w:tmpl w:val="28162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1F41DC"/>
    <w:multiLevelType w:val="hybridMultilevel"/>
    <w:tmpl w:val="D3BC7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815F1"/>
    <w:multiLevelType w:val="hybridMultilevel"/>
    <w:tmpl w:val="D9FE8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8A5365"/>
    <w:multiLevelType w:val="hybridMultilevel"/>
    <w:tmpl w:val="4358D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3555C0"/>
    <w:multiLevelType w:val="hybridMultilevel"/>
    <w:tmpl w:val="C5D29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8A7177"/>
    <w:multiLevelType w:val="hybridMultilevel"/>
    <w:tmpl w:val="063C9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9E085F"/>
    <w:multiLevelType w:val="hybridMultilevel"/>
    <w:tmpl w:val="96606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970034"/>
    <w:multiLevelType w:val="hybridMultilevel"/>
    <w:tmpl w:val="D7AC7A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A3349"/>
    <w:multiLevelType w:val="hybridMultilevel"/>
    <w:tmpl w:val="895C26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0E32CE"/>
    <w:multiLevelType w:val="hybridMultilevel"/>
    <w:tmpl w:val="71EE14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A8181A"/>
    <w:multiLevelType w:val="hybridMultilevel"/>
    <w:tmpl w:val="A55E79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EB15C7"/>
    <w:multiLevelType w:val="hybridMultilevel"/>
    <w:tmpl w:val="6C883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4E2885"/>
    <w:multiLevelType w:val="hybridMultilevel"/>
    <w:tmpl w:val="3F228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982A49"/>
    <w:multiLevelType w:val="hybridMultilevel"/>
    <w:tmpl w:val="B5B443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D46303"/>
    <w:multiLevelType w:val="hybridMultilevel"/>
    <w:tmpl w:val="60564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8326E"/>
    <w:multiLevelType w:val="hybridMultilevel"/>
    <w:tmpl w:val="C2E6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12"/>
  </w:num>
  <w:num w:numId="4">
    <w:abstractNumId w:val="16"/>
  </w:num>
  <w:num w:numId="5">
    <w:abstractNumId w:val="30"/>
  </w:num>
  <w:num w:numId="6">
    <w:abstractNumId w:val="10"/>
  </w:num>
  <w:num w:numId="7">
    <w:abstractNumId w:val="38"/>
  </w:num>
  <w:num w:numId="8">
    <w:abstractNumId w:val="18"/>
  </w:num>
  <w:num w:numId="9">
    <w:abstractNumId w:val="2"/>
  </w:num>
  <w:num w:numId="10">
    <w:abstractNumId w:val="8"/>
  </w:num>
  <w:num w:numId="11">
    <w:abstractNumId w:val="22"/>
  </w:num>
  <w:num w:numId="12">
    <w:abstractNumId w:val="39"/>
  </w:num>
  <w:num w:numId="13">
    <w:abstractNumId w:val="15"/>
  </w:num>
  <w:num w:numId="14">
    <w:abstractNumId w:val="23"/>
  </w:num>
  <w:num w:numId="15">
    <w:abstractNumId w:val="6"/>
  </w:num>
  <w:num w:numId="16">
    <w:abstractNumId w:val="3"/>
  </w:num>
  <w:num w:numId="17">
    <w:abstractNumId w:val="11"/>
  </w:num>
  <w:num w:numId="18">
    <w:abstractNumId w:val="29"/>
  </w:num>
  <w:num w:numId="19">
    <w:abstractNumId w:val="36"/>
  </w:num>
  <w:num w:numId="20">
    <w:abstractNumId w:val="4"/>
  </w:num>
  <w:num w:numId="21">
    <w:abstractNumId w:val="31"/>
  </w:num>
  <w:num w:numId="22">
    <w:abstractNumId w:val="7"/>
  </w:num>
  <w:num w:numId="23">
    <w:abstractNumId w:val="33"/>
  </w:num>
  <w:num w:numId="24">
    <w:abstractNumId w:val="9"/>
  </w:num>
  <w:num w:numId="25">
    <w:abstractNumId w:val="20"/>
  </w:num>
  <w:num w:numId="26">
    <w:abstractNumId w:val="32"/>
  </w:num>
  <w:num w:numId="27">
    <w:abstractNumId w:val="35"/>
  </w:num>
  <w:num w:numId="28">
    <w:abstractNumId w:val="21"/>
  </w:num>
  <w:num w:numId="29">
    <w:abstractNumId w:val="19"/>
  </w:num>
  <w:num w:numId="30">
    <w:abstractNumId w:val="28"/>
  </w:num>
  <w:num w:numId="31">
    <w:abstractNumId w:val="17"/>
  </w:num>
  <w:num w:numId="32">
    <w:abstractNumId w:val="24"/>
  </w:num>
  <w:num w:numId="33">
    <w:abstractNumId w:val="27"/>
  </w:num>
  <w:num w:numId="34">
    <w:abstractNumId w:val="26"/>
  </w:num>
  <w:num w:numId="35">
    <w:abstractNumId w:val="13"/>
  </w:num>
  <w:num w:numId="36">
    <w:abstractNumId w:val="5"/>
  </w:num>
  <w:num w:numId="37">
    <w:abstractNumId w:val="0"/>
  </w:num>
  <w:num w:numId="38">
    <w:abstractNumId w:val="1"/>
  </w:num>
  <w:num w:numId="39">
    <w:abstractNumId w:val="25"/>
  </w:num>
  <w:num w:numId="40">
    <w:abstractNumId w:val="3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26B5"/>
    <w:rsid w:val="00007B9A"/>
    <w:rsid w:val="00026F4A"/>
    <w:rsid w:val="00031EA4"/>
    <w:rsid w:val="0003282E"/>
    <w:rsid w:val="00054C66"/>
    <w:rsid w:val="000A2DE8"/>
    <w:rsid w:val="000A41C4"/>
    <w:rsid w:val="000B33B9"/>
    <w:rsid w:val="000C181B"/>
    <w:rsid w:val="00144D69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057EE"/>
    <w:rsid w:val="00216141"/>
    <w:rsid w:val="0024315C"/>
    <w:rsid w:val="00255C97"/>
    <w:rsid w:val="00257E4E"/>
    <w:rsid w:val="00262961"/>
    <w:rsid w:val="00262DC8"/>
    <w:rsid w:val="00286E5B"/>
    <w:rsid w:val="002D7152"/>
    <w:rsid w:val="00315DE8"/>
    <w:rsid w:val="003539C6"/>
    <w:rsid w:val="003735B8"/>
    <w:rsid w:val="00380D8B"/>
    <w:rsid w:val="003A504C"/>
    <w:rsid w:val="003B500C"/>
    <w:rsid w:val="003B59A5"/>
    <w:rsid w:val="003C497A"/>
    <w:rsid w:val="003E0512"/>
    <w:rsid w:val="003F50EE"/>
    <w:rsid w:val="003F564D"/>
    <w:rsid w:val="00405D44"/>
    <w:rsid w:val="00406074"/>
    <w:rsid w:val="00421D1E"/>
    <w:rsid w:val="00441176"/>
    <w:rsid w:val="004514CA"/>
    <w:rsid w:val="004540CF"/>
    <w:rsid w:val="00460BE8"/>
    <w:rsid w:val="00477E53"/>
    <w:rsid w:val="004C2091"/>
    <w:rsid w:val="00504FF3"/>
    <w:rsid w:val="00511BCC"/>
    <w:rsid w:val="00516A23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5B5444"/>
    <w:rsid w:val="005D19A3"/>
    <w:rsid w:val="006061E7"/>
    <w:rsid w:val="00621ED0"/>
    <w:rsid w:val="00694094"/>
    <w:rsid w:val="006A57AA"/>
    <w:rsid w:val="006B439A"/>
    <w:rsid w:val="006B5E37"/>
    <w:rsid w:val="006B7C05"/>
    <w:rsid w:val="006D4441"/>
    <w:rsid w:val="006E1E56"/>
    <w:rsid w:val="006F0D1F"/>
    <w:rsid w:val="00723911"/>
    <w:rsid w:val="00736F8B"/>
    <w:rsid w:val="00747F43"/>
    <w:rsid w:val="007826AA"/>
    <w:rsid w:val="00790538"/>
    <w:rsid w:val="007B644B"/>
    <w:rsid w:val="007D47D3"/>
    <w:rsid w:val="007D70D5"/>
    <w:rsid w:val="007E1EB3"/>
    <w:rsid w:val="007E2354"/>
    <w:rsid w:val="007E320D"/>
    <w:rsid w:val="007F2722"/>
    <w:rsid w:val="00801103"/>
    <w:rsid w:val="0080500A"/>
    <w:rsid w:val="00805E88"/>
    <w:rsid w:val="00821402"/>
    <w:rsid w:val="00853C77"/>
    <w:rsid w:val="00854D7D"/>
    <w:rsid w:val="00856608"/>
    <w:rsid w:val="008728F0"/>
    <w:rsid w:val="008841AE"/>
    <w:rsid w:val="008F6F2E"/>
    <w:rsid w:val="00955F5D"/>
    <w:rsid w:val="00982E3F"/>
    <w:rsid w:val="009908D6"/>
    <w:rsid w:val="009D678D"/>
    <w:rsid w:val="009F0BBC"/>
    <w:rsid w:val="00A217BC"/>
    <w:rsid w:val="00A277A1"/>
    <w:rsid w:val="00A710A6"/>
    <w:rsid w:val="00A84881"/>
    <w:rsid w:val="00A87D55"/>
    <w:rsid w:val="00AA69A5"/>
    <w:rsid w:val="00AD3E40"/>
    <w:rsid w:val="00B15D08"/>
    <w:rsid w:val="00B25115"/>
    <w:rsid w:val="00B42097"/>
    <w:rsid w:val="00B546E5"/>
    <w:rsid w:val="00B63A1D"/>
    <w:rsid w:val="00B9614B"/>
    <w:rsid w:val="00BA5AE1"/>
    <w:rsid w:val="00BA6B99"/>
    <w:rsid w:val="00BB0543"/>
    <w:rsid w:val="00BE09F5"/>
    <w:rsid w:val="00BE67CE"/>
    <w:rsid w:val="00BF5A56"/>
    <w:rsid w:val="00C02411"/>
    <w:rsid w:val="00C15B49"/>
    <w:rsid w:val="00C24FD8"/>
    <w:rsid w:val="00CB3E04"/>
    <w:rsid w:val="00CD7992"/>
    <w:rsid w:val="00CE08DB"/>
    <w:rsid w:val="00CE52F4"/>
    <w:rsid w:val="00D062F1"/>
    <w:rsid w:val="00D158BC"/>
    <w:rsid w:val="00D544B8"/>
    <w:rsid w:val="00D6430F"/>
    <w:rsid w:val="00D95547"/>
    <w:rsid w:val="00DB0AB2"/>
    <w:rsid w:val="00DC029D"/>
    <w:rsid w:val="00DC36E0"/>
    <w:rsid w:val="00DC490B"/>
    <w:rsid w:val="00DE2A4B"/>
    <w:rsid w:val="00E074C8"/>
    <w:rsid w:val="00E32EB2"/>
    <w:rsid w:val="00E366D5"/>
    <w:rsid w:val="00E36867"/>
    <w:rsid w:val="00E415FB"/>
    <w:rsid w:val="00EA4A1C"/>
    <w:rsid w:val="00EB42D5"/>
    <w:rsid w:val="00EF31B4"/>
    <w:rsid w:val="00F02CDE"/>
    <w:rsid w:val="00F03792"/>
    <w:rsid w:val="00F117F8"/>
    <w:rsid w:val="00F143B2"/>
    <w:rsid w:val="00F20733"/>
    <w:rsid w:val="00F46F8C"/>
    <w:rsid w:val="00F728D7"/>
    <w:rsid w:val="00F85965"/>
    <w:rsid w:val="00FA0424"/>
    <w:rsid w:val="00FA1ED8"/>
    <w:rsid w:val="00FB08D6"/>
    <w:rsid w:val="00FD4511"/>
    <w:rsid w:val="00FE18A7"/>
    <w:rsid w:val="00FE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3"/>
    <w:rsid w:val="00257E4E"/>
    <w:rPr>
      <w:sz w:val="24"/>
      <w:szCs w:val="24"/>
    </w:rPr>
  </w:style>
  <w:style w:type="paragraph" w:customStyle="1" w:styleId="1">
    <w:name w:val="سرد الفقرات1"/>
    <w:basedOn w:val="a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a4">
    <w:name w:val="Table Grid"/>
    <w:basedOn w:val="a1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6837C5-1F0B-450E-9E5F-07E77F4C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6599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pc</cp:lastModifiedBy>
  <cp:revision>18</cp:revision>
  <cp:lastPrinted>2013-11-28T10:11:00Z</cp:lastPrinted>
  <dcterms:created xsi:type="dcterms:W3CDTF">2016-09-22T10:19:00Z</dcterms:created>
  <dcterms:modified xsi:type="dcterms:W3CDTF">2016-09-24T11:21:00Z</dcterms:modified>
</cp:coreProperties>
</file>