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3550"/>
        <w:bidiVisual/>
        <w:tblW w:w="10065" w:type="dxa"/>
        <w:tblLook w:val="04A0"/>
      </w:tblPr>
      <w:tblGrid>
        <w:gridCol w:w="5061"/>
        <w:gridCol w:w="5004"/>
      </w:tblGrid>
      <w:tr w:rsidR="00E3269A" w:rsidRPr="00E3269A" w:rsidTr="00E3269A">
        <w:tc>
          <w:tcPr>
            <w:tcW w:w="5061" w:type="dxa"/>
          </w:tcPr>
          <w:p w:rsidR="00E3269A" w:rsidRPr="00E3269A" w:rsidRDefault="00E3269A" w:rsidP="00E3269A">
            <w:pPr>
              <w:jc w:val="center"/>
              <w:rPr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ا</w:t>
            </w: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لمخدرات . . آثارها السلبية وسبل مواجهتها</w:t>
            </w:r>
          </w:p>
        </w:tc>
        <w:tc>
          <w:tcPr>
            <w:tcW w:w="5004" w:type="dxa"/>
          </w:tcPr>
          <w:p w:rsidR="00E3269A" w:rsidRPr="00E3269A" w:rsidRDefault="00E3269A" w:rsidP="00E3269A">
            <w:pPr>
              <w:jc w:val="center"/>
              <w:rPr>
                <w:rFonts w:hint="cs"/>
                <w:sz w:val="36"/>
                <w:szCs w:val="36"/>
                <w:rtl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محمد شوكت محمد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المخدرات بين الطب والفقه</w:t>
            </w:r>
          </w:p>
        </w:tc>
        <w:tc>
          <w:tcPr>
            <w:tcW w:w="5004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أحمد طه علي ريان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جرائم المخدرات في ضوء الفقه</w:t>
            </w:r>
          </w:p>
        </w:tc>
        <w:tc>
          <w:tcPr>
            <w:tcW w:w="5004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فاطمة العرفي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المخدرات</w:t>
            </w:r>
          </w:p>
        </w:tc>
        <w:tc>
          <w:tcPr>
            <w:tcW w:w="5004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صالح السعد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المخدرات الخطر الداهم</w:t>
            </w:r>
          </w:p>
        </w:tc>
        <w:tc>
          <w:tcPr>
            <w:tcW w:w="5004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محمد علي البار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المخدرات الخطر والمقاومة</w:t>
            </w:r>
          </w:p>
        </w:tc>
        <w:tc>
          <w:tcPr>
            <w:tcW w:w="5004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 xml:space="preserve">وزارة الإعلام </w:t>
            </w:r>
            <w:proofErr w:type="spellStart"/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/</w:t>
            </w:r>
            <w:proofErr w:type="spellEnd"/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 xml:space="preserve"> الشئون الإعلامية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 xml:space="preserve">المخدرات </w:t>
            </w:r>
            <w:proofErr w:type="spellStart"/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-</w:t>
            </w:r>
            <w:proofErr w:type="spellEnd"/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 xml:space="preserve"> أنواعها</w:t>
            </w:r>
          </w:p>
        </w:tc>
        <w:tc>
          <w:tcPr>
            <w:tcW w:w="5004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الإدارة العامة لمكافحة المخدرات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المخدرات من القلق إلى الاستعباد</w:t>
            </w:r>
          </w:p>
        </w:tc>
        <w:tc>
          <w:tcPr>
            <w:tcW w:w="5004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 xml:space="preserve">محمد محمود </w:t>
            </w:r>
            <w:proofErr w:type="spellStart"/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الهواري</w:t>
            </w:r>
            <w:proofErr w:type="spellEnd"/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المخدرات والمؤثرات العقلية</w:t>
            </w:r>
          </w:p>
        </w:tc>
        <w:tc>
          <w:tcPr>
            <w:tcW w:w="5004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ياسين حسين شاهين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المخدرات</w:t>
            </w:r>
          </w:p>
        </w:tc>
        <w:tc>
          <w:tcPr>
            <w:tcW w:w="5004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خالد صالح العجلان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الادمان</w:t>
            </w:r>
          </w:p>
        </w:tc>
        <w:tc>
          <w:tcPr>
            <w:tcW w:w="5004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عبد المجيد منصور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اضرار المخدرات</w:t>
            </w:r>
          </w:p>
        </w:tc>
        <w:tc>
          <w:tcPr>
            <w:tcW w:w="5004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عمران عبد الكريم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المخدرات والعقاقير المخدرة</w:t>
            </w:r>
          </w:p>
        </w:tc>
        <w:tc>
          <w:tcPr>
            <w:tcW w:w="5004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مركز أبحاث مكافحة الجريمة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المسكرات والمخدرات بين الشريعة والقانون</w:t>
            </w:r>
          </w:p>
        </w:tc>
        <w:tc>
          <w:tcPr>
            <w:tcW w:w="5004" w:type="dxa"/>
            <w:vAlign w:val="center"/>
          </w:tcPr>
          <w:p w:rsidR="00E3269A" w:rsidRPr="009B78F5" w:rsidRDefault="00E3269A" w:rsidP="00E3269A">
            <w:pPr>
              <w:bidi w:val="0"/>
              <w:jc w:val="center"/>
              <w:rPr>
                <w:rFonts w:ascii="Tahoma" w:eastAsia="Times New Roman" w:hAnsi="Tahoma" w:cs="Tahoma"/>
                <w:color w:val="000000"/>
                <w:sz w:val="36"/>
                <w:szCs w:val="36"/>
              </w:rPr>
            </w:pP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المستشار</w:t>
            </w:r>
            <w:r w:rsidRPr="00E3269A">
              <w:rPr>
                <w:rFonts w:ascii="Tahoma" w:eastAsia="Times New Roman" w:hAnsi="Tahoma" w:cs="Tahoma"/>
                <w:color w:val="000000"/>
                <w:sz w:val="36"/>
                <w:szCs w:val="36"/>
              </w:rPr>
              <w:t> </w:t>
            </w:r>
            <w:r w:rsidRPr="009B78F5">
              <w:rPr>
                <w:rFonts w:ascii="Tahoma" w:eastAsia="Times New Roman" w:hAnsi="Tahoma" w:cs="Tahoma"/>
                <w:color w:val="000000"/>
                <w:sz w:val="36"/>
                <w:szCs w:val="36"/>
                <w:rtl/>
              </w:rPr>
              <w:t>عزت عطية</w:t>
            </w:r>
          </w:p>
        </w:tc>
      </w:tr>
      <w:tr w:rsidR="00E3269A" w:rsidRPr="00E3269A" w:rsidTr="00E3269A">
        <w:tc>
          <w:tcPr>
            <w:tcW w:w="5061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الشباب والانترنت والمخدرات</w:t>
            </w:r>
          </w:p>
        </w:tc>
        <w:tc>
          <w:tcPr>
            <w:tcW w:w="5004" w:type="dxa"/>
            <w:vAlign w:val="center"/>
          </w:tcPr>
          <w:p w:rsidR="00E3269A" w:rsidRPr="00E3269A" w:rsidRDefault="00E3269A" w:rsidP="00E3269A">
            <w:pPr>
              <w:bidi w:val="0"/>
              <w:jc w:val="center"/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</w:pPr>
            <w:proofErr w:type="spellStart"/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ذياب</w:t>
            </w:r>
            <w:proofErr w:type="spellEnd"/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E3269A">
              <w:rPr>
                <w:rFonts w:ascii="Tahoma" w:eastAsia="Times New Roman" w:hAnsi="Tahoma" w:cs="Tahoma" w:hint="cs"/>
                <w:color w:val="000000"/>
                <w:sz w:val="36"/>
                <w:szCs w:val="36"/>
                <w:rtl/>
              </w:rPr>
              <w:t>البداينة</w:t>
            </w:r>
            <w:proofErr w:type="spellEnd"/>
          </w:p>
        </w:tc>
      </w:tr>
    </w:tbl>
    <w:p w:rsidR="00C04D1D" w:rsidRPr="00E3269A" w:rsidRDefault="00E3269A">
      <w:pPr>
        <w:rPr>
          <w:rFonts w:cs="Diwani Simple Striped"/>
          <w:b/>
          <w:bCs/>
          <w:sz w:val="44"/>
          <w:szCs w:val="44"/>
        </w:rPr>
      </w:pPr>
      <w:r w:rsidRPr="00E3269A">
        <w:rPr>
          <w:rFonts w:cs="Diwani Simple Striped" w:hint="cs"/>
          <w:b/>
          <w:bCs/>
          <w:sz w:val="44"/>
          <w:szCs w:val="44"/>
          <w:rtl/>
        </w:rPr>
        <w:t xml:space="preserve">مراجع مقترحة لبحث فقه </w:t>
      </w:r>
      <w:proofErr w:type="spellStart"/>
      <w:r w:rsidRPr="00E3269A">
        <w:rPr>
          <w:rFonts w:cs="Diwani Simple Striped" w:hint="cs"/>
          <w:b/>
          <w:bCs/>
          <w:sz w:val="44"/>
          <w:szCs w:val="44"/>
          <w:rtl/>
        </w:rPr>
        <w:t>العقوبات2</w:t>
      </w:r>
      <w:proofErr w:type="spellEnd"/>
    </w:p>
    <w:sectPr w:rsidR="00C04D1D" w:rsidRPr="00E3269A" w:rsidSect="001904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 Simple Strip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E3269A"/>
    <w:rsid w:val="001904BD"/>
    <w:rsid w:val="00C04D1D"/>
    <w:rsid w:val="00D065E3"/>
    <w:rsid w:val="00E3269A"/>
    <w:rsid w:val="00EC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2016-10-09T12:09:00Z</dcterms:created>
  <dcterms:modified xsi:type="dcterms:W3CDTF">2016-10-09T12:22:00Z</dcterms:modified>
</cp:coreProperties>
</file>