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A4" w:rsidRPr="00892FA4" w:rsidRDefault="00AA089A" w:rsidP="00AA0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rtl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527D5" wp14:editId="61D61C80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5286375" cy="357505"/>
                <wp:effectExtent l="0" t="0" r="28575" b="23495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35750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FA4" w:rsidRPr="00906042" w:rsidRDefault="00AA089A" w:rsidP="00AA089A">
                            <w:pPr>
                              <w:jc w:val="center"/>
                              <w:rPr>
                                <w:rFonts w:cs="PT Bold Head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PT Bold Heading" w:hint="cs"/>
                                <w:sz w:val="20"/>
                                <w:szCs w:val="20"/>
                                <w:rtl/>
                              </w:rPr>
                              <w:t>....</w:t>
                            </w:r>
                            <w:r w:rsidR="00892FA4" w:rsidRPr="00906042">
                              <w:rPr>
                                <w:rFonts w:cs="PT Bold Heading"/>
                                <w:sz w:val="20"/>
                                <w:szCs w:val="20"/>
                                <w:rtl/>
                              </w:rPr>
                              <w:t xml:space="preserve">  مختصر توصيف المقرر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0;margin-top:2.85pt;width:416.2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" fillcolor="#ddd">
                <v:textbox>
                  <w:txbxContent>
                    <w:p w:rsidR="00892FA4" w:rsidRPr="00906042" w:rsidRDefault="00AA089A" w:rsidP="00AA089A">
                      <w:pPr>
                        <w:jc w:val="center"/>
                        <w:rPr>
                          <w:rFonts w:cs="PT Bold Heading"/>
                          <w:sz w:val="20"/>
                          <w:szCs w:val="20"/>
                        </w:rPr>
                      </w:pPr>
                      <w:r>
                        <w:rPr>
                          <w:rFonts w:cs="PT Bold Heading" w:hint="cs"/>
                          <w:sz w:val="20"/>
                          <w:szCs w:val="20"/>
                          <w:rtl/>
                        </w:rPr>
                        <w:t>....</w:t>
                      </w:r>
                      <w:r w:rsidR="00892FA4" w:rsidRPr="00906042">
                        <w:rPr>
                          <w:rFonts w:cs="PT Bold Heading"/>
                          <w:sz w:val="20"/>
                          <w:szCs w:val="20"/>
                          <w:rtl/>
                        </w:rPr>
                        <w:t xml:space="preserve">  مختصر توصيف المقرر</w:t>
                      </w:r>
                    </w:p>
                  </w:txbxContent>
                </v:textbox>
              </v:shape>
            </w:pict>
          </mc:Fallback>
        </mc:AlternateContent>
      </w:r>
    </w:p>
    <w:p w:rsidR="00892FA4" w:rsidRPr="00892FA4" w:rsidRDefault="00892FA4" w:rsidP="00AA089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rtl/>
        </w:rPr>
      </w:pPr>
    </w:p>
    <w:p w:rsidR="00892FA4" w:rsidRPr="00892FA4" w:rsidRDefault="00892FA4" w:rsidP="00892F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2132"/>
        <w:gridCol w:w="2526"/>
        <w:gridCol w:w="2148"/>
      </w:tblGrid>
      <w:tr w:rsidR="00892FA4" w:rsidRPr="00892FA4" w:rsidTr="005B3179">
        <w:tc>
          <w:tcPr>
            <w:tcW w:w="5000" w:type="pct"/>
            <w:gridSpan w:val="4"/>
          </w:tcPr>
          <w:p w:rsidR="00892FA4" w:rsidRPr="00892FA4" w:rsidRDefault="00892FA4" w:rsidP="00892FA4">
            <w:pPr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b/>
                <w:bCs/>
                <w:sz w:val="30"/>
                <w:szCs w:val="30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30"/>
                <w:szCs w:val="30"/>
                <w:rtl/>
              </w:rPr>
              <w:t>نموذج وصف المقرر</w:t>
            </w:r>
          </w:p>
        </w:tc>
      </w:tr>
      <w:tr w:rsidR="00892FA4" w:rsidRPr="00892FA4" w:rsidTr="005B3179">
        <w:tc>
          <w:tcPr>
            <w:tcW w:w="1007" w:type="pct"/>
            <w:tcBorders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رقم المقر</w:t>
            </w:r>
            <w:bookmarkStart w:id="0" w:name="_GoBack"/>
            <w:bookmarkEnd w:id="0"/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ر ورمزه</w:t>
            </w: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>343 قرأ</w:t>
            </w:r>
          </w:p>
        </w:tc>
        <w:tc>
          <w:tcPr>
            <w:tcW w:w="1482" w:type="pct"/>
            <w:tcBorders>
              <w:left w:val="single" w:sz="4" w:space="0" w:color="auto"/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</w:p>
        </w:tc>
        <w:tc>
          <w:tcPr>
            <w:tcW w:w="1260" w:type="pct"/>
            <w:tcBorders>
              <w:lef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right"/>
              <w:rPr>
                <w:rFonts w:ascii="Times New Roman" w:eastAsia="Times New Roman" w:hAnsi="Times New Roman" w:cs="Traditional Arabic"/>
                <w:sz w:val="26"/>
                <w:szCs w:val="26"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</w:rPr>
              <w:t>Course Code</w:t>
            </w:r>
          </w:p>
        </w:tc>
      </w:tr>
      <w:tr w:rsidR="00892FA4" w:rsidRPr="00892FA4" w:rsidTr="005B3179">
        <w:tc>
          <w:tcPr>
            <w:tcW w:w="1007" w:type="pct"/>
            <w:tcBorders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اسم المقرر</w:t>
            </w: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>أصول التفسير</w:t>
            </w:r>
          </w:p>
        </w:tc>
        <w:tc>
          <w:tcPr>
            <w:tcW w:w="14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FA4" w:rsidRPr="00892FA4" w:rsidRDefault="00892FA4" w:rsidP="00892FA4">
            <w:pPr>
              <w:spacing w:after="0" w:line="240" w:lineRule="auto"/>
              <w:jc w:val="right"/>
              <w:rPr>
                <w:rFonts w:ascii="Times New Roman" w:eastAsia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4"/>
                <w:szCs w:val="24"/>
              </w:rPr>
              <w:t>Assets of interpretation</w:t>
            </w:r>
          </w:p>
        </w:tc>
        <w:tc>
          <w:tcPr>
            <w:tcW w:w="1260" w:type="pct"/>
            <w:tcBorders>
              <w:lef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right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</w:rPr>
              <w:t>Course Title</w:t>
            </w:r>
          </w:p>
        </w:tc>
      </w:tr>
      <w:tr w:rsidR="00892FA4" w:rsidRPr="00892FA4" w:rsidTr="005B3179">
        <w:tc>
          <w:tcPr>
            <w:tcW w:w="1007" w:type="pct"/>
            <w:tcBorders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الساعات المعتمدة</w:t>
            </w: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>ساعتان</w:t>
            </w:r>
          </w:p>
        </w:tc>
        <w:tc>
          <w:tcPr>
            <w:tcW w:w="1482" w:type="pct"/>
            <w:tcBorders>
              <w:left w:val="single" w:sz="4" w:space="0" w:color="auto"/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</w:p>
        </w:tc>
        <w:tc>
          <w:tcPr>
            <w:tcW w:w="1260" w:type="pct"/>
            <w:tcBorders>
              <w:lef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right"/>
              <w:rPr>
                <w:rFonts w:ascii="Times New Roman" w:eastAsia="Times New Roman" w:hAnsi="Times New Roman" w:cs="Traditional Arabic"/>
                <w:sz w:val="26"/>
                <w:szCs w:val="26"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</w:rPr>
              <w:t>Credit Hours</w:t>
            </w:r>
          </w:p>
        </w:tc>
      </w:tr>
      <w:tr w:rsidR="00892FA4" w:rsidRPr="00892FA4" w:rsidTr="005B3179">
        <w:tc>
          <w:tcPr>
            <w:tcW w:w="1007" w:type="pct"/>
            <w:tcBorders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المتطلب السابق</w:t>
            </w: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>231 قرأ تاريخ القرآن الكريم</w:t>
            </w:r>
          </w:p>
        </w:tc>
        <w:tc>
          <w:tcPr>
            <w:tcW w:w="1482" w:type="pct"/>
            <w:tcBorders>
              <w:left w:val="single" w:sz="4" w:space="0" w:color="auto"/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</w:p>
        </w:tc>
        <w:tc>
          <w:tcPr>
            <w:tcW w:w="1260" w:type="pct"/>
            <w:tcBorders>
              <w:lef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right"/>
              <w:rPr>
                <w:rFonts w:ascii="Times New Roman" w:eastAsia="Times New Roman" w:hAnsi="Times New Roman" w:cs="Traditional Arabic"/>
                <w:sz w:val="26"/>
                <w:szCs w:val="26"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</w:rPr>
              <w:t>Prerequisite</w:t>
            </w:r>
          </w:p>
        </w:tc>
      </w:tr>
      <w:tr w:rsidR="00892FA4" w:rsidRPr="00892FA4" w:rsidTr="005B3179">
        <w:tc>
          <w:tcPr>
            <w:tcW w:w="1007" w:type="pct"/>
            <w:tcBorders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طبيعة المقرر</w:t>
            </w: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center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>نظــري</w:t>
            </w:r>
          </w:p>
        </w:tc>
        <w:tc>
          <w:tcPr>
            <w:tcW w:w="1482" w:type="pct"/>
            <w:tcBorders>
              <w:left w:val="single" w:sz="4" w:space="0" w:color="auto"/>
              <w:righ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</w:p>
        </w:tc>
        <w:tc>
          <w:tcPr>
            <w:tcW w:w="1260" w:type="pct"/>
            <w:tcBorders>
              <w:left w:val="single" w:sz="4" w:space="0" w:color="auto"/>
            </w:tcBorders>
          </w:tcPr>
          <w:p w:rsidR="00892FA4" w:rsidRPr="00892FA4" w:rsidRDefault="00892FA4" w:rsidP="00892FA4">
            <w:pPr>
              <w:spacing w:after="0" w:line="240" w:lineRule="auto"/>
              <w:jc w:val="right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</w:rPr>
              <w:t>Credit Distribution</w:t>
            </w:r>
          </w:p>
        </w:tc>
      </w:tr>
      <w:tr w:rsidR="00892FA4" w:rsidRPr="00892FA4" w:rsidTr="005B3179">
        <w:trPr>
          <w:trHeight w:val="1150"/>
        </w:trPr>
        <w:tc>
          <w:tcPr>
            <w:tcW w:w="5000" w:type="pct"/>
            <w:gridSpan w:val="4"/>
          </w:tcPr>
          <w:p w:rsidR="00892FA4" w:rsidRPr="00892FA4" w:rsidRDefault="00892FA4" w:rsidP="00892FA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وصف المقرر: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    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1 ـ تعريف أصول التفسير.                         2 ـ الفرق بين أصول التفسير وعلوم القرآن.</w:t>
            </w:r>
          </w:p>
          <w:p w:rsidR="00892FA4" w:rsidRPr="00892FA4" w:rsidRDefault="00892FA4" w:rsidP="00892FA4">
            <w:pPr>
              <w:spacing w:after="0" w:line="400" w:lineRule="exact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                    3 ـ طرق التفسير باعتبار مصدره: (القرآن، السنة ، أقوال الصحابة والتابعين، </w:t>
            </w:r>
            <w:proofErr w:type="spellStart"/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اللغةالعربية</w:t>
            </w:r>
            <w:proofErr w:type="spellEnd"/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).          </w:t>
            </w:r>
          </w:p>
          <w:p w:rsidR="00892FA4" w:rsidRPr="00892FA4" w:rsidRDefault="00892FA4" w:rsidP="00892FA4">
            <w:pPr>
              <w:spacing w:after="0" w:line="400" w:lineRule="exact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4 ـ الإجماع والاختلاف في التفسير.               5 ـ أسباب الاختلاف في التفسير.      </w:t>
            </w:r>
          </w:p>
          <w:p w:rsidR="00892FA4" w:rsidRPr="00892FA4" w:rsidRDefault="00892FA4" w:rsidP="00892FA4">
            <w:pPr>
              <w:spacing w:after="0" w:line="400" w:lineRule="exact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6 ـ طرق التعبير عن التفسير: ( التفسير بالمثال، التفسير باللازم، التفسير بجزء من المعنى ).</w:t>
            </w:r>
          </w:p>
          <w:p w:rsidR="00892FA4" w:rsidRPr="00892FA4" w:rsidRDefault="00892FA4" w:rsidP="00892FA4">
            <w:pPr>
              <w:spacing w:after="0" w:line="400" w:lineRule="exact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7 ـ قواعد الترجيح بين أقوال المفسرين.                    8 ـ القواعد العامة في التفسير.</w:t>
            </w:r>
          </w:p>
          <w:p w:rsidR="00892FA4" w:rsidRPr="00892FA4" w:rsidRDefault="00892FA4" w:rsidP="00892FA4">
            <w:pPr>
              <w:spacing w:after="0" w:line="400" w:lineRule="exact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9 ـ تطبيق هذه المباحث على بعض سور جزء عمّ: (التكوير، المطففين، البلد، العاديات ...ونحوها).      </w:t>
            </w:r>
          </w:p>
          <w:p w:rsidR="00892FA4" w:rsidRPr="00892FA4" w:rsidRDefault="00892FA4" w:rsidP="00892FA4">
            <w:pPr>
              <w:spacing w:after="0" w:line="400" w:lineRule="exact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10_  المؤلفات في أصول التفسير : أ ـ مقدمة في أصول التفسير لابن تيمية . ب ـ الفوز الكبير في أصول التفسير للدهلوي</w:t>
            </w:r>
            <w:r w:rsidRPr="00892FA4">
              <w:rPr>
                <w:rFonts w:ascii="Traditional Arabic" w:eastAsia="Times New Roman" w:hAnsi="Traditional Arabic" w:cs="Traditional Arabic"/>
                <w:b/>
                <w:bCs/>
                <w:sz w:val="26"/>
                <w:szCs w:val="26"/>
                <w:rtl/>
              </w:rPr>
              <w:t xml:space="preserve"> .</w:t>
            </w:r>
          </w:p>
        </w:tc>
      </w:tr>
      <w:tr w:rsidR="00892FA4" w:rsidRPr="00892FA4" w:rsidTr="005B3179">
        <w:trPr>
          <w:trHeight w:val="1150"/>
        </w:trPr>
        <w:tc>
          <w:tcPr>
            <w:tcW w:w="5000" w:type="pct"/>
            <w:gridSpan w:val="4"/>
          </w:tcPr>
          <w:p w:rsidR="00892FA4" w:rsidRPr="00892FA4" w:rsidRDefault="00892FA4" w:rsidP="00AA089A">
            <w:pPr>
              <w:spacing w:after="0" w:line="240" w:lineRule="auto"/>
              <w:jc w:val="right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</w:rPr>
              <w:t>Course description:</w:t>
            </w:r>
          </w:p>
        </w:tc>
      </w:tr>
      <w:tr w:rsidR="00892FA4" w:rsidRPr="00892FA4" w:rsidTr="005B3179">
        <w:trPr>
          <w:trHeight w:val="1150"/>
        </w:trPr>
        <w:tc>
          <w:tcPr>
            <w:tcW w:w="5000" w:type="pct"/>
            <w:gridSpan w:val="4"/>
          </w:tcPr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أهداف المقرر:</w:t>
            </w:r>
          </w:p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    . أن يفهم الطالب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/ الطالبة 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المراد بعلم أصول التفسير .       . أن يسلك الطالب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/ الطالبة ا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>لمنهج العلمي في دراسته لاختلاف المفسرين.</w:t>
            </w:r>
          </w:p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    . أن يفرق الطالب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/ الطالبة 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بين التفسير الصحيح وغيره.       . أن يتدرب الطالب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/ الطالبة 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على طرق الجمع بين أقوال المفسرين.                   </w:t>
            </w:r>
          </w:p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    . أن يمتلك الطالب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/ الطالبة 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>القدرة على التعامل الحسن مع كتب التفسير عند رجوعه إليها.</w:t>
            </w:r>
          </w:p>
        </w:tc>
      </w:tr>
      <w:tr w:rsidR="00892FA4" w:rsidRPr="00892FA4" w:rsidTr="005B3179">
        <w:tc>
          <w:tcPr>
            <w:tcW w:w="5000" w:type="pct"/>
            <w:gridSpan w:val="4"/>
          </w:tcPr>
          <w:p w:rsidR="00892FA4" w:rsidRPr="00892FA4" w:rsidRDefault="00892FA4" w:rsidP="00892FA4">
            <w:pPr>
              <w:spacing w:after="0" w:line="400" w:lineRule="exact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كتاب المقرر: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    1-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فصول في أصول التفسير / د. مساعد الطيار، دار النشر الدولي، ط:2، 1417هـ.                       </w:t>
            </w:r>
            <w:proofErr w:type="spellStart"/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</w:rPr>
              <w:t>Texbook</w:t>
            </w:r>
            <w:proofErr w:type="spellEnd"/>
          </w:p>
          <w:p w:rsidR="00892FA4" w:rsidRPr="00892FA4" w:rsidRDefault="00892FA4" w:rsidP="00892FA4">
            <w:pPr>
              <w:spacing w:after="0" w:line="400" w:lineRule="exact"/>
              <w:ind w:left="750"/>
              <w:rPr>
                <w:rFonts w:ascii="Traditional Arabic" w:eastAsia="Times New Roman" w:hAnsi="Traditional Arabic" w:cs="Traditional Arabic"/>
                <w:sz w:val="26"/>
                <w:szCs w:val="26"/>
              </w:rPr>
            </w:pP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      2- معالم في أصول التفسير / د. ناصر المنيع، دار </w:t>
            </w:r>
            <w:proofErr w:type="spellStart"/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الصميعي</w:t>
            </w:r>
            <w:proofErr w:type="spellEnd"/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، الرياض، ط:1 ،1433هـ.     </w:t>
            </w:r>
          </w:p>
          <w:p w:rsidR="00892FA4" w:rsidRPr="00892FA4" w:rsidRDefault="00892FA4" w:rsidP="00892FA4">
            <w:pPr>
              <w:spacing w:after="0" w:line="400" w:lineRule="exact"/>
              <w:ind w:left="750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      3- التفسير أصوله وضوابطه / </w:t>
            </w:r>
            <w:proofErr w:type="spellStart"/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أ.د</w:t>
            </w:r>
            <w:proofErr w:type="spellEnd"/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. علي بن سليمان العبيد، مكتبة التوبة، الرياض، ط:2 ، 1430هـ</w:t>
            </w:r>
          </w:p>
          <w:p w:rsidR="00892FA4" w:rsidRPr="00892FA4" w:rsidRDefault="00892FA4" w:rsidP="00892FA4">
            <w:pPr>
              <w:spacing w:after="0" w:line="240" w:lineRule="auto"/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</w:pPr>
            <w:r w:rsidRPr="00892FA4">
              <w:rPr>
                <w:rFonts w:ascii="Times New Roman" w:eastAsia="Times New Roman" w:hAnsi="Times New Roman" w:cs="Traditional Arabic"/>
                <w:b/>
                <w:bCs/>
                <w:sz w:val="26"/>
                <w:szCs w:val="26"/>
                <w:rtl/>
              </w:rPr>
              <w:t>المراجع: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    1-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مقدمة في أصول التفسير / شيخ الإسلام ابن تيمية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، تحقيق: عدنان زرزور، دار القرآن </w:t>
            </w:r>
            <w:proofErr w:type="spellStart"/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>الكريم،الكويت</w:t>
            </w:r>
            <w:proofErr w:type="spellEnd"/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، ط: 1414هـ       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 xml:space="preserve">       2- الفوز الكبير في أصول التفسير / ولي الله الدهلوي، دار البشائر، ط:2، 1407هـ.</w:t>
            </w:r>
            <w:r w:rsidRPr="00892FA4">
              <w:rPr>
                <w:rFonts w:ascii="Times New Roman" w:eastAsia="Times New Roman" w:hAnsi="Times New Roman" w:cs="Traditional Arabic"/>
                <w:sz w:val="26"/>
                <w:szCs w:val="26"/>
                <w:rtl/>
              </w:rPr>
              <w:t xml:space="preserve">  3- </w:t>
            </w: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التفسير والمفسرون / د. محمد حسين الذهبي، دار الأرقم، بيروت، ط:2008.    4- بحوث في أصول التفسير ومناهجه /أ. د. فهد الرومي، مكتبة التوبة، الرياض، ط: 1428هـ.</w:t>
            </w:r>
          </w:p>
          <w:p w:rsidR="00892FA4" w:rsidRPr="00892FA4" w:rsidRDefault="00892FA4" w:rsidP="00892FA4">
            <w:pPr>
              <w:spacing w:after="0" w:line="400" w:lineRule="exact"/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</w:pPr>
            <w:r w:rsidRPr="00892FA4">
              <w:rPr>
                <w:rFonts w:ascii="Traditional Arabic" w:eastAsia="Times New Roman" w:hAnsi="Traditional Arabic" w:cs="Traditional Arabic"/>
                <w:sz w:val="26"/>
                <w:szCs w:val="26"/>
                <w:rtl/>
              </w:rPr>
              <w:t>5- قواعد الترجيح عند المفسرين / د. حسين الحربي، دار القاسم، ط:1، 1417هـ      6- قواعد التفسير / د. خالد السبت، دار ابن عفان، ط:1، 1417هـ.</w:t>
            </w:r>
          </w:p>
        </w:tc>
      </w:tr>
    </w:tbl>
    <w:p w:rsidR="00600E8D" w:rsidRPr="00892FA4" w:rsidRDefault="00600E8D"/>
    <w:sectPr w:rsidR="00600E8D" w:rsidRPr="00892FA4" w:rsidSect="00AA089A">
      <w:pgSz w:w="11906" w:h="16838"/>
      <w:pgMar w:top="993" w:right="1800" w:bottom="851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A4"/>
    <w:rsid w:val="00600E8D"/>
    <w:rsid w:val="00800691"/>
    <w:rsid w:val="00892FA4"/>
    <w:rsid w:val="00AA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2017-09-19T19:46:00Z</dcterms:created>
  <dcterms:modified xsi:type="dcterms:W3CDTF">2017-09-19T20:01:00Z</dcterms:modified>
</cp:coreProperties>
</file>