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B47" w:rsidRDefault="00F64F55" w:rsidP="001B4886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1B4886">
        <w:rPr>
          <w:rFonts w:hint="cs"/>
          <w:b/>
          <w:bCs/>
          <w:sz w:val="24"/>
          <w:szCs w:val="24"/>
          <w:rtl/>
        </w:rPr>
        <w:t>_</w:t>
      </w:r>
      <w:r w:rsidR="00C10B8D">
        <w:rPr>
          <w:rFonts w:hint="cs"/>
          <w:b/>
          <w:bCs/>
          <w:sz w:val="24"/>
          <w:szCs w:val="24"/>
          <w:rtl/>
        </w:rPr>
        <w:t>القانون المقارن</w:t>
      </w:r>
      <w:r w:rsidR="001B4886">
        <w:rPr>
          <w:rFonts w:hint="cs"/>
          <w:b/>
          <w:bCs/>
          <w:sz w:val="24"/>
          <w:szCs w:val="24"/>
          <w:rtl/>
        </w:rPr>
        <w:t>________</w:t>
      </w:r>
    </w:p>
    <w:p w:rsidR="00AF4FF7" w:rsidRPr="00D02715" w:rsidRDefault="00AF4FF7" w:rsidP="00D44317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رمز المقرر</w:t>
      </w:r>
      <w:r w:rsidR="00806B55">
        <w:rPr>
          <w:rFonts w:hint="cs"/>
          <w:b/>
          <w:bCs/>
          <w:sz w:val="24"/>
          <w:szCs w:val="24"/>
          <w:rtl/>
        </w:rPr>
        <w:t>نظم</w:t>
      </w:r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806B55">
        <w:rPr>
          <w:rFonts w:hint="cs"/>
          <w:b/>
          <w:bCs/>
          <w:sz w:val="24"/>
          <w:szCs w:val="24"/>
          <w:rtl/>
        </w:rPr>
        <w:t>4</w:t>
      </w:r>
      <w:r w:rsidR="00D44317">
        <w:rPr>
          <w:rFonts w:hint="cs"/>
          <w:b/>
          <w:bCs/>
          <w:sz w:val="24"/>
          <w:szCs w:val="24"/>
          <w:rtl/>
        </w:rPr>
        <w:t>41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435A7C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Default="006C00C1" w:rsidP="00FE356A">
                  <w:pPr>
                    <w:bidi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يهدف هذا المقرر إلى</w:t>
                  </w:r>
                  <w:r w:rsidR="00FE356A">
                    <w:rPr>
                      <w:rFonts w:hint="cs"/>
                    </w:rPr>
                    <w:t xml:space="preserve"> </w:t>
                  </w:r>
                  <w:r w:rsidR="00FE356A">
                    <w:rPr>
                      <w:rFonts w:hint="cs"/>
                      <w:rtl/>
                    </w:rPr>
                    <w:t xml:space="preserve">معرفة أهمية دراسة القانون المقارن وعلاقته بالعلوم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القانونيه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والإطلاع على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الأنظمه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القانونيه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المقارنه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التي تبنتها الدول لتسهيل فهم مواضيعها وتطبيقاتها ومعرفة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المبادىء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والأسس التي تقوم عليها الدراسات القانونية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المقارنه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والإطلاع على مختلف الحلول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التشريعيه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لمختلف العائلات القانونية وتبيان كيفية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الإستفاده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منها وإرساء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الثقافه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القانونيه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FE356A">
                    <w:rPr>
                      <w:rFonts w:hint="cs"/>
                      <w:rtl/>
                    </w:rPr>
                    <w:t>المقارنه</w:t>
                  </w:r>
                  <w:proofErr w:type="spellEnd"/>
                  <w:r w:rsidR="00FE356A">
                    <w:rPr>
                      <w:rFonts w:hint="cs"/>
                      <w:rtl/>
                    </w:rPr>
                    <w:t xml:space="preserve"> لدى الطالب السعودي</w:t>
                  </w:r>
                </w:p>
                <w:p w:rsidR="00446FC6" w:rsidRDefault="00446FC6" w:rsidP="00446FC6">
                  <w:pPr>
                    <w:bidi/>
                  </w:pPr>
                </w:p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Pr="00322D6D" w:rsidRDefault="00435A7C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2" type="#_x0000_t202" style="position:absolute;left:0;text-align:left;margin-left:38.25pt;margin-top:15.8pt;width:448.5pt;height:85.5pt;z-index:251659264" stroked="f">
            <v:textbox>
              <w:txbxContent>
                <w:p w:rsidR="00C452AA" w:rsidRDefault="00D72B44" w:rsidP="00C452AA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د.علي جعفر ,نشأة القوانين وتطورها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مدخل إلى دراسة القوانين القديمة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القانون الروماني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الشريعه </w:t>
                  </w:r>
                  <w:proofErr w:type="spellStart"/>
                  <w:r>
                    <w:rPr>
                      <w:rFonts w:hint="cs"/>
                      <w:rtl/>
                    </w:rPr>
                    <w:t>الإسلاميه</w:t>
                  </w:r>
                  <w:proofErr w:type="spellEnd"/>
                  <w:r w:rsidR="00806BA8">
                    <w:rPr>
                      <w:rFonts w:hint="cs"/>
                      <w:rtl/>
                    </w:rPr>
                    <w:t xml:space="preserve"> ,دار </w:t>
                  </w:r>
                  <w:proofErr w:type="spellStart"/>
                  <w:r w:rsidR="00806BA8">
                    <w:rPr>
                      <w:rFonts w:hint="cs"/>
                      <w:rtl/>
                    </w:rPr>
                    <w:t>النهضه</w:t>
                  </w:r>
                  <w:proofErr w:type="spellEnd"/>
                  <w:r w:rsidR="00806BA8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806BA8">
                    <w:rPr>
                      <w:rFonts w:hint="cs"/>
                      <w:rtl/>
                    </w:rPr>
                    <w:t>العربيه</w:t>
                  </w:r>
                  <w:proofErr w:type="spellEnd"/>
                  <w:r w:rsidR="00716351">
                    <w:rPr>
                      <w:rFonts w:hint="cs"/>
                      <w:rtl/>
                    </w:rPr>
                    <w:t xml:space="preserve"> ، ط1،2002</w:t>
                  </w:r>
                </w:p>
                <w:p w:rsidR="00806BA8" w:rsidRDefault="00806BA8" w:rsidP="00806BA8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د.منذر الفضل ,تاريخ القانون ,دار بيروت العربية </w:t>
                  </w:r>
                </w:p>
                <w:p w:rsidR="00806BA8" w:rsidRDefault="009D6539" w:rsidP="00806BA8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مذكره للدكتور حسن عبد الحميد </w:t>
                  </w:r>
                </w:p>
                <w:p w:rsidR="00806BA8" w:rsidRDefault="00716351" w:rsidP="00716351">
                  <w:pPr>
                    <w:pStyle w:val="a7"/>
                    <w:numPr>
                      <w:ilvl w:val="0"/>
                      <w:numId w:val="2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د.دليلة </w:t>
                  </w:r>
                  <w:proofErr w:type="spellStart"/>
                  <w:r>
                    <w:rPr>
                      <w:rFonts w:hint="cs"/>
                      <w:rtl/>
                    </w:rPr>
                    <w:t>فركوس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: تاريخ النظم :الجزء الأول : النظم </w:t>
                  </w:r>
                  <w:proofErr w:type="spellStart"/>
                  <w:r>
                    <w:rPr>
                      <w:rFonts w:hint="cs"/>
                      <w:rtl/>
                    </w:rPr>
                    <w:t>القديمه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، الجزء الثاني : النظم الإسلامية ،جامعة الملك سعود ،14</w:t>
                  </w:r>
                </w:p>
                <w:p w:rsidR="009D6539" w:rsidRDefault="009D6539" w:rsidP="009D6539">
                  <w:pPr>
                    <w:pStyle w:val="a7"/>
                    <w:bidi/>
                  </w:pPr>
                </w:p>
                <w:p w:rsidR="00806BA8" w:rsidRDefault="00806BA8" w:rsidP="00806BA8">
                  <w:pPr>
                    <w:pStyle w:val="a7"/>
                    <w:bidi/>
                  </w:pPr>
                  <w:r>
                    <w:rPr>
                      <w:rFonts w:hint="cs"/>
                      <w:rtl/>
                    </w:rPr>
                    <w:t>ممم</w:t>
                  </w:r>
                </w:p>
                <w:p w:rsidR="00806BA8" w:rsidRDefault="00806BA8" w:rsidP="00806BA8">
                  <w:pPr>
                    <w:pStyle w:val="a7"/>
                    <w:bidi/>
                  </w:pP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435A7C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7D011C" w:rsidP="00716351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الأو</w:t>
                  </w:r>
                  <w:r w:rsidRPr="00716351">
                    <w:rPr>
                      <w:rFonts w:hint="cs"/>
                      <w:b/>
                      <w:bCs/>
                      <w:rtl/>
                    </w:rPr>
                    <w:t xml:space="preserve">ل </w:t>
                  </w:r>
                  <w:r w:rsidR="00716351">
                    <w:rPr>
                      <w:rFonts w:hint="cs"/>
                      <w:rtl/>
                    </w:rPr>
                    <w:t>25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716351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الثاني </w:t>
                  </w:r>
                  <w:r w:rsidR="00716351">
                    <w:rPr>
                      <w:rFonts w:hint="cs"/>
                      <w:rtl/>
                    </w:rPr>
                    <w:t>25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94079F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>مشاركه(</w:t>
                  </w:r>
                  <w:r w:rsidR="00D72B44">
                    <w:rPr>
                      <w:rFonts w:hint="cs"/>
                      <w:rtl/>
                    </w:rPr>
                    <w:t xml:space="preserve">الإلقاء والعرض </w:t>
                  </w:r>
                  <w:r>
                    <w:rPr>
                      <w:rFonts w:hint="cs"/>
                      <w:rtl/>
                    </w:rPr>
                    <w:t xml:space="preserve"> ووأوراق عمل وواجبات )</w:t>
                  </w:r>
                  <w:r w:rsidR="0094079F">
                    <w:rPr>
                      <w:rFonts w:hint="cs"/>
                      <w:rtl/>
                    </w:rPr>
                    <w:t>10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D02715" w:rsidRDefault="00337DAD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ED4548">
      <w:pPr>
        <w:pStyle w:val="a7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الإمتحان الأول : الأسبوع ا</w:t>
      </w:r>
      <w:r w:rsidR="00ED4548">
        <w:rPr>
          <w:rFonts w:hint="cs"/>
          <w:b/>
          <w:bCs/>
          <w:sz w:val="24"/>
          <w:szCs w:val="24"/>
          <w:rtl/>
        </w:rPr>
        <w:t>لسادس</w:t>
      </w:r>
    </w:p>
    <w:p w:rsidR="00F9791A" w:rsidRDefault="00F9791A" w:rsidP="00F9791A">
      <w:pPr>
        <w:pStyle w:val="a7"/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الإمتحان الثاني : الأسبوع الثاني عشر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الإيميل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337DAD" w:rsidRPr="00AF4FF7" w:rsidRDefault="00EC54F0" w:rsidP="00C76475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2-الساعات المكتبيه ,الأحد ,الثلاثاء ,الخميس </w:t>
      </w:r>
      <w:r w:rsidR="00C76475">
        <w:rPr>
          <w:rFonts w:hint="cs"/>
          <w:b/>
          <w:bCs/>
          <w:sz w:val="24"/>
          <w:szCs w:val="24"/>
          <w:rtl/>
        </w:rPr>
        <w:t>11-12</w:t>
      </w:r>
      <w:r w:rsidR="00337DAD" w:rsidRPr="00AF4FF7">
        <w:rPr>
          <w:b/>
          <w:bCs/>
          <w:sz w:val="24"/>
          <w:szCs w:val="24"/>
          <w:rtl/>
        </w:rPr>
        <w:br w:type="page"/>
      </w: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868"/>
        <w:gridCol w:w="1980"/>
        <w:gridCol w:w="2358"/>
      </w:tblGrid>
      <w:tr w:rsidR="00294D35" w:rsidRPr="00D02715" w:rsidTr="006F76FC">
        <w:trPr>
          <w:jc w:val="center"/>
        </w:trPr>
        <w:tc>
          <w:tcPr>
            <w:tcW w:w="586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5E5D1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التعريف بالقانون المقارن ،نشأته ، أهميته ومجالاته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5-4-1436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5E5D1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علاقة القانون المقارن  بالعلوم الأخرى 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12-4-1436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طرق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المقارنه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وشروطها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19-4-1436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تصنيف العائلات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القانونيه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:معايير التصنيف 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26-4-1436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العائله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الإسلاميه</w:t>
            </w:r>
            <w:proofErr w:type="spellEnd"/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3-5-1436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العائله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الرومانيه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الجرمانيه</w:t>
            </w:r>
            <w:proofErr w:type="spellEnd"/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10-5-1436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العائله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الأنجلوسكسونيه</w:t>
            </w:r>
            <w:proofErr w:type="spellEnd"/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17-5-1436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394494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مقارنة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الأنظمه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القانونيه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24-5-1436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1B68F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إجازة منصف الفصل الدراسي الثاني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2-6-1436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1B68FC" w:rsidP="00AC78D7">
            <w:pPr>
              <w:bidi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الأنظمه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القضائيه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المقارنه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التنظيم القضائي البريطاني  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9-6-1436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1B68F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التنظيم القضائي البريطاني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16-6-1436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1B68F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التنظيم القضائي الأمريكي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58" w:type="dxa"/>
          </w:tcPr>
          <w:p w:rsidR="00394494" w:rsidRPr="006D0222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23-6-1436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1B68F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التنظيم القضائي الفرنسي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</w:tcPr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30-6-1436</w:t>
            </w: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BA05EE" w:rsidRDefault="001B68FC" w:rsidP="00E04B68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التنظيم القضائي الفرنسي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7-7-1436</w:t>
            </w:r>
          </w:p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Pr="00D02715" w:rsidRDefault="001B68FC" w:rsidP="00806BA8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المقارنه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 بين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الأنظمه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القضائيه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المقارنه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br/>
              <w:t xml:space="preserve">(بريطانيا _الولايات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المتحده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الأمريكيه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_فرنسا _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المملكه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العربيه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السعوديه</w:t>
            </w:r>
            <w:proofErr w:type="spellEnd"/>
            <w:r w:rsidR="00394494" w:rsidRPr="00D02715">
              <w:rPr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394494" w:rsidRPr="00D02715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</w:tcPr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14-7-1436</w:t>
            </w:r>
          </w:p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394494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394494" w:rsidRDefault="001B68FC" w:rsidP="00806BA8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نظام العقود في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الأنظمه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القانونية المقارنه</w:t>
            </w:r>
          </w:p>
        </w:tc>
        <w:tc>
          <w:tcPr>
            <w:tcW w:w="1980" w:type="dxa"/>
            <w:vAlign w:val="center"/>
          </w:tcPr>
          <w:p w:rsidR="00394494" w:rsidRDefault="00394494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الاسبوع السادس عشر</w:t>
            </w:r>
          </w:p>
        </w:tc>
        <w:tc>
          <w:tcPr>
            <w:tcW w:w="2358" w:type="dxa"/>
          </w:tcPr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21-7-1436</w:t>
            </w:r>
          </w:p>
          <w:p w:rsidR="00394494" w:rsidRDefault="00394494" w:rsidP="00C91AB5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A76ABB" w:rsidRDefault="00A76ABB" w:rsidP="00337DAD">
      <w:pPr>
        <w:bidi/>
        <w:rPr>
          <w:b/>
          <w:bCs/>
          <w:sz w:val="24"/>
          <w:szCs w:val="24"/>
          <w:rtl/>
        </w:rPr>
      </w:pPr>
    </w:p>
    <w:p w:rsidR="00D26EDB" w:rsidRPr="00D02715" w:rsidRDefault="00D02715" w:rsidP="0087456E">
      <w:pPr>
        <w:bidi/>
        <w:rPr>
          <w:b/>
          <w:bCs/>
          <w:sz w:val="24"/>
          <w:szCs w:val="24"/>
          <w:rtl/>
        </w:rPr>
      </w:pPr>
      <w:r w:rsidRPr="00D02715">
        <w:rPr>
          <w:rFonts w:hint="cs"/>
          <w:b/>
          <w:bCs/>
          <w:sz w:val="24"/>
          <w:szCs w:val="24"/>
          <w:rtl/>
        </w:rPr>
        <w:t xml:space="preserve">أستاذة المادة: </w:t>
      </w:r>
      <w:r w:rsidR="0087456E">
        <w:rPr>
          <w:rFonts w:hint="cs"/>
          <w:b/>
          <w:bCs/>
          <w:sz w:val="24"/>
          <w:szCs w:val="24"/>
          <w:rtl/>
        </w:rPr>
        <w:t>آلاء عبنده</w:t>
      </w:r>
    </w:p>
    <w:sectPr w:rsidR="00D26EDB" w:rsidRPr="00D02715" w:rsidSect="00AC4D61">
      <w:headerReference w:type="default" r:id="rId9"/>
      <w:footerReference w:type="default" r:id="rId10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C9F" w:rsidRDefault="00197C9F" w:rsidP="001B4AB2">
      <w:pPr>
        <w:spacing w:after="0" w:line="240" w:lineRule="auto"/>
      </w:pPr>
      <w:r>
        <w:separator/>
      </w:r>
    </w:p>
  </w:endnote>
  <w:endnote w:type="continuationSeparator" w:id="1">
    <w:p w:rsidR="00197C9F" w:rsidRDefault="00197C9F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عليشة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C9F" w:rsidRDefault="00197C9F" w:rsidP="001B4AB2">
      <w:pPr>
        <w:spacing w:after="0" w:line="240" w:lineRule="auto"/>
      </w:pPr>
      <w:r>
        <w:separator/>
      </w:r>
    </w:p>
  </w:footnote>
  <w:footnote w:type="continuationSeparator" w:id="1">
    <w:p w:rsidR="00197C9F" w:rsidRDefault="00197C9F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342A3"/>
    <w:rsid w:val="00034F06"/>
    <w:rsid w:val="00037BBC"/>
    <w:rsid w:val="000472C0"/>
    <w:rsid w:val="001646B2"/>
    <w:rsid w:val="00196454"/>
    <w:rsid w:val="00197C9F"/>
    <w:rsid w:val="001B4886"/>
    <w:rsid w:val="001B4AB2"/>
    <w:rsid w:val="001B68FC"/>
    <w:rsid w:val="001C34E8"/>
    <w:rsid w:val="001D4831"/>
    <w:rsid w:val="00216868"/>
    <w:rsid w:val="00294D35"/>
    <w:rsid w:val="002E6340"/>
    <w:rsid w:val="003029E7"/>
    <w:rsid w:val="00322D6D"/>
    <w:rsid w:val="0033244D"/>
    <w:rsid w:val="00337DAD"/>
    <w:rsid w:val="00377AC4"/>
    <w:rsid w:val="00394494"/>
    <w:rsid w:val="003B6747"/>
    <w:rsid w:val="00433A9B"/>
    <w:rsid w:val="00435A7C"/>
    <w:rsid w:val="00446FC6"/>
    <w:rsid w:val="00472060"/>
    <w:rsid w:val="00510E6C"/>
    <w:rsid w:val="00512BDD"/>
    <w:rsid w:val="00573042"/>
    <w:rsid w:val="00584181"/>
    <w:rsid w:val="005E5D10"/>
    <w:rsid w:val="0066758A"/>
    <w:rsid w:val="0069152D"/>
    <w:rsid w:val="006A376E"/>
    <w:rsid w:val="006B2126"/>
    <w:rsid w:val="006B430D"/>
    <w:rsid w:val="006C00C1"/>
    <w:rsid w:val="006F76FC"/>
    <w:rsid w:val="007042FD"/>
    <w:rsid w:val="0070459C"/>
    <w:rsid w:val="00716351"/>
    <w:rsid w:val="00727A92"/>
    <w:rsid w:val="007D011C"/>
    <w:rsid w:val="00806B55"/>
    <w:rsid w:val="00806BA8"/>
    <w:rsid w:val="0082181E"/>
    <w:rsid w:val="00824ED5"/>
    <w:rsid w:val="0083106A"/>
    <w:rsid w:val="008456C8"/>
    <w:rsid w:val="0085219F"/>
    <w:rsid w:val="008623A2"/>
    <w:rsid w:val="008669BC"/>
    <w:rsid w:val="0087456E"/>
    <w:rsid w:val="008752C9"/>
    <w:rsid w:val="00876786"/>
    <w:rsid w:val="00882F49"/>
    <w:rsid w:val="00897801"/>
    <w:rsid w:val="00897F05"/>
    <w:rsid w:val="008F2E2A"/>
    <w:rsid w:val="009005FC"/>
    <w:rsid w:val="0090677C"/>
    <w:rsid w:val="0094079F"/>
    <w:rsid w:val="00942B5B"/>
    <w:rsid w:val="009615C0"/>
    <w:rsid w:val="00967516"/>
    <w:rsid w:val="009B2D61"/>
    <w:rsid w:val="009D6539"/>
    <w:rsid w:val="009E1474"/>
    <w:rsid w:val="00A11134"/>
    <w:rsid w:val="00A34D5B"/>
    <w:rsid w:val="00A5386D"/>
    <w:rsid w:val="00A76ABB"/>
    <w:rsid w:val="00A935F0"/>
    <w:rsid w:val="00AB72B0"/>
    <w:rsid w:val="00AC4D61"/>
    <w:rsid w:val="00AC78D7"/>
    <w:rsid w:val="00AE1EE2"/>
    <w:rsid w:val="00AF4FF7"/>
    <w:rsid w:val="00B46875"/>
    <w:rsid w:val="00B5625F"/>
    <w:rsid w:val="00BA05EE"/>
    <w:rsid w:val="00BA303A"/>
    <w:rsid w:val="00BB2F35"/>
    <w:rsid w:val="00C10B8D"/>
    <w:rsid w:val="00C23257"/>
    <w:rsid w:val="00C452AA"/>
    <w:rsid w:val="00C64396"/>
    <w:rsid w:val="00C76475"/>
    <w:rsid w:val="00C8174E"/>
    <w:rsid w:val="00CA6F66"/>
    <w:rsid w:val="00CC4B47"/>
    <w:rsid w:val="00D02715"/>
    <w:rsid w:val="00D02A31"/>
    <w:rsid w:val="00D26EDB"/>
    <w:rsid w:val="00D44317"/>
    <w:rsid w:val="00D569DF"/>
    <w:rsid w:val="00D72B44"/>
    <w:rsid w:val="00D7550D"/>
    <w:rsid w:val="00E04B68"/>
    <w:rsid w:val="00E108E6"/>
    <w:rsid w:val="00E222C3"/>
    <w:rsid w:val="00E2725B"/>
    <w:rsid w:val="00E41847"/>
    <w:rsid w:val="00E469A4"/>
    <w:rsid w:val="00E6591F"/>
    <w:rsid w:val="00E92E3F"/>
    <w:rsid w:val="00EB3415"/>
    <w:rsid w:val="00EC54F0"/>
    <w:rsid w:val="00ED07E5"/>
    <w:rsid w:val="00ED4548"/>
    <w:rsid w:val="00EE407D"/>
    <w:rsid w:val="00EF2EDC"/>
    <w:rsid w:val="00F310D8"/>
    <w:rsid w:val="00F64F55"/>
    <w:rsid w:val="00F9791A"/>
    <w:rsid w:val="00FB1AD8"/>
    <w:rsid w:val="00FC7637"/>
    <w:rsid w:val="00FD1C36"/>
    <w:rsid w:val="00FE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63EFC-03BE-49C1-81BE-FD74C9FF1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53</cp:revision>
  <cp:lastPrinted>2014-09-03T04:45:00Z</cp:lastPrinted>
  <dcterms:created xsi:type="dcterms:W3CDTF">2014-09-02T20:45:00Z</dcterms:created>
  <dcterms:modified xsi:type="dcterms:W3CDTF">2015-01-28T07:25:00Z</dcterms:modified>
</cp:coreProperties>
</file>