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C47" w:rsidRPr="00112152" w:rsidRDefault="003F2C47" w:rsidP="003F2C47">
      <w:pPr>
        <w:jc w:val="center"/>
        <w:rPr>
          <w:b/>
          <w:sz w:val="28"/>
          <w:szCs w:val="28"/>
        </w:rPr>
      </w:pPr>
      <w:r w:rsidRPr="00112152">
        <w:rPr>
          <w:b/>
          <w:sz w:val="28"/>
          <w:szCs w:val="28"/>
        </w:rPr>
        <w:t>Course Specifications</w:t>
      </w:r>
    </w:p>
    <w:p w:rsidR="003F2C47" w:rsidRPr="00112152" w:rsidRDefault="003F2C47" w:rsidP="003F2C47">
      <w:pPr>
        <w:jc w:val="center"/>
        <w:rPr>
          <w:b/>
          <w:bCs/>
          <w:sz w:val="28"/>
          <w:szCs w:val="28"/>
        </w:rPr>
      </w:pPr>
      <w:r w:rsidRPr="00112152">
        <w:rPr>
          <w:b/>
          <w:sz w:val="28"/>
          <w:szCs w:val="28"/>
        </w:rPr>
        <w:t>(CS)</w:t>
      </w:r>
    </w:p>
    <w:p w:rsidR="003621C9" w:rsidRDefault="003F2C47" w:rsidP="003621C9">
      <w:pPr>
        <w:pBdr>
          <w:bottom w:val="single" w:sz="12" w:space="1" w:color="auto"/>
        </w:pBdr>
        <w:jc w:val="center"/>
        <w:rPr>
          <w:b/>
          <w:bCs/>
          <w:sz w:val="28"/>
          <w:szCs w:val="28"/>
        </w:rPr>
      </w:pPr>
      <w:r w:rsidRPr="00112152">
        <w:rPr>
          <w:b/>
          <w:bCs/>
          <w:sz w:val="28"/>
          <w:szCs w:val="28"/>
        </w:rPr>
        <w:t>Mathematics of Finance and Investments (QUAN 127)</w:t>
      </w:r>
    </w:p>
    <w:p w:rsidR="00430FCD" w:rsidRDefault="00430FCD" w:rsidP="003F2C47">
      <w:pPr>
        <w:jc w:val="center"/>
        <w:rPr>
          <w:b/>
          <w:bCs/>
          <w:sz w:val="28"/>
          <w:szCs w:val="28"/>
        </w:rPr>
      </w:pPr>
    </w:p>
    <w:tbl>
      <w:tblPr>
        <w:tblStyle w:val="TableGrid"/>
        <w:tblW w:w="96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18"/>
        <w:gridCol w:w="1536"/>
      </w:tblGrid>
      <w:tr w:rsidR="006A1EE5" w:rsidTr="00FC5F71">
        <w:tc>
          <w:tcPr>
            <w:tcW w:w="8118" w:type="dxa"/>
          </w:tcPr>
          <w:p w:rsidR="00430FCD" w:rsidRDefault="00430FCD" w:rsidP="006A1EE5">
            <w:pPr>
              <w:spacing w:line="276" w:lineRule="auto"/>
              <w:jc w:val="both"/>
            </w:pPr>
            <w:r w:rsidRPr="00430FCD">
              <w:rPr>
                <w:b/>
                <w:bCs/>
              </w:rPr>
              <w:t xml:space="preserve">Course Instructor: </w:t>
            </w:r>
            <w:r w:rsidRPr="00430FCD">
              <w:t xml:space="preserve">Dr. Md. </w:t>
            </w:r>
            <w:proofErr w:type="spellStart"/>
            <w:r w:rsidRPr="00430FCD">
              <w:t>Izhar</w:t>
            </w:r>
            <w:proofErr w:type="spellEnd"/>
            <w:r w:rsidRPr="00430FCD">
              <w:t xml:space="preserve"> </w:t>
            </w:r>
            <w:proofErr w:type="spellStart"/>
            <w:r w:rsidRPr="00430FCD">
              <w:t>Alam</w:t>
            </w:r>
            <w:proofErr w:type="spellEnd"/>
          </w:p>
          <w:p w:rsidR="00430FCD" w:rsidRDefault="00430FCD" w:rsidP="006A1EE5">
            <w:pPr>
              <w:spacing w:line="276" w:lineRule="auto"/>
              <w:jc w:val="both"/>
            </w:pPr>
            <w:r w:rsidRPr="00430FCD">
              <w:rPr>
                <w:b/>
                <w:bCs/>
              </w:rPr>
              <w:t>E- mail:</w:t>
            </w:r>
            <w:r>
              <w:t xml:space="preserve"> </w:t>
            </w:r>
            <w:hyperlink r:id="rId5" w:history="1">
              <w:r w:rsidRPr="00430FCD">
                <w:rPr>
                  <w:rStyle w:val="Hyperlink"/>
                  <w:color w:val="0070C0"/>
                </w:rPr>
                <w:t>mialam@ksu.edu.sa</w:t>
              </w:r>
            </w:hyperlink>
          </w:p>
          <w:p w:rsidR="00430FCD" w:rsidRDefault="00430FCD" w:rsidP="006A1EE5">
            <w:pPr>
              <w:spacing w:line="276" w:lineRule="auto"/>
              <w:jc w:val="both"/>
            </w:pPr>
            <w:r w:rsidRPr="00430FCD">
              <w:rPr>
                <w:b/>
                <w:bCs/>
              </w:rPr>
              <w:t>Contact No.:</w:t>
            </w:r>
            <w:r>
              <w:t xml:space="preserve"> 0536108067 </w:t>
            </w:r>
          </w:p>
          <w:p w:rsidR="00430FCD" w:rsidRDefault="00430FCD" w:rsidP="006A1EE5">
            <w:pPr>
              <w:spacing w:line="276" w:lineRule="auto"/>
              <w:jc w:val="both"/>
            </w:pPr>
            <w:r w:rsidRPr="00430FCD">
              <w:rPr>
                <w:b/>
                <w:bCs/>
              </w:rPr>
              <w:t>Tel No.:</w:t>
            </w:r>
            <w:r>
              <w:t xml:space="preserve"> 1195</w:t>
            </w:r>
          </w:p>
          <w:p w:rsidR="00430FCD" w:rsidRPr="00430FCD" w:rsidRDefault="00430FCD" w:rsidP="006A1EE5">
            <w:pPr>
              <w:spacing w:line="276" w:lineRule="auto"/>
              <w:jc w:val="both"/>
              <w:rPr>
                <w:b/>
                <w:bCs/>
              </w:rPr>
            </w:pPr>
            <w:r w:rsidRPr="00430FCD">
              <w:rPr>
                <w:b/>
                <w:bCs/>
              </w:rPr>
              <w:t>Office:</w:t>
            </w:r>
            <w:r>
              <w:t xml:space="preserve"> F091, CBA</w:t>
            </w:r>
          </w:p>
        </w:tc>
        <w:tc>
          <w:tcPr>
            <w:tcW w:w="1536" w:type="dxa"/>
          </w:tcPr>
          <w:p w:rsidR="00430FCD" w:rsidRDefault="0050195A" w:rsidP="00430FCD">
            <w:pPr>
              <w:jc w:val="both"/>
              <w:rPr>
                <w:b/>
                <w:bCs/>
                <w:sz w:val="28"/>
                <w:szCs w:val="28"/>
              </w:rPr>
            </w:pPr>
            <w:r w:rsidRPr="0050195A">
              <w:rPr>
                <w:b/>
                <w:bCs/>
                <w:noProof/>
                <w:sz w:val="28"/>
                <w:szCs w:val="28"/>
              </w:rPr>
              <w:drawing>
                <wp:inline distT="0" distB="0" distL="0" distR="0">
                  <wp:extent cx="809625" cy="933450"/>
                  <wp:effectExtent l="0" t="0" r="9525" b="0"/>
                  <wp:docPr id="1" name="Picture 1" descr="C:\Users\KSU-AlMuzahimiyia\Dropbox\My Documents\new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U-AlMuzahimiyia\Dropbox\My Documents\new phot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9625" cy="933450"/>
                          </a:xfrm>
                          <a:prstGeom prst="rect">
                            <a:avLst/>
                          </a:prstGeom>
                          <a:noFill/>
                          <a:ln>
                            <a:noFill/>
                          </a:ln>
                        </pic:spPr>
                      </pic:pic>
                    </a:graphicData>
                  </a:graphic>
                </wp:inline>
              </w:drawing>
            </w:r>
          </w:p>
        </w:tc>
      </w:tr>
    </w:tbl>
    <w:p w:rsidR="003F2C47" w:rsidRDefault="003F2C47" w:rsidP="003F2C47">
      <w:pPr>
        <w:pBdr>
          <w:bottom w:val="single" w:sz="12" w:space="1" w:color="auto"/>
        </w:pBdr>
        <w:jc w:val="both"/>
        <w:rPr>
          <w:b/>
          <w:bCs/>
          <w:sz w:val="20"/>
          <w:szCs w:val="20"/>
        </w:rPr>
      </w:pPr>
    </w:p>
    <w:p w:rsidR="00430FCD" w:rsidRDefault="00430FCD" w:rsidP="003F2C47">
      <w:pPr>
        <w:jc w:val="both"/>
        <w:rPr>
          <w:b/>
          <w:bCs/>
          <w:sz w:val="20"/>
          <w:szCs w:val="20"/>
        </w:rPr>
      </w:pPr>
    </w:p>
    <w:p w:rsidR="003F2C47" w:rsidRPr="00B84754" w:rsidRDefault="003F2C47" w:rsidP="003F2C47">
      <w:pPr>
        <w:spacing w:line="360" w:lineRule="auto"/>
        <w:jc w:val="both"/>
        <w:rPr>
          <w:b/>
          <w:bCs/>
          <w:sz w:val="28"/>
          <w:szCs w:val="28"/>
        </w:rPr>
      </w:pPr>
      <w:r w:rsidRPr="00B84754">
        <w:rPr>
          <w:b/>
          <w:bCs/>
          <w:sz w:val="28"/>
          <w:szCs w:val="28"/>
        </w:rPr>
        <w:t>Objectives:</w:t>
      </w:r>
    </w:p>
    <w:p w:rsidR="003F2C47" w:rsidRDefault="003F2C47" w:rsidP="00112152">
      <w:pPr>
        <w:spacing w:line="276" w:lineRule="auto"/>
        <w:ind w:firstLine="720"/>
        <w:jc w:val="both"/>
        <w:rPr>
          <w:color w:val="000000"/>
          <w:lang w:val="en-GB"/>
        </w:rPr>
      </w:pPr>
      <w:r w:rsidRPr="003F2C47">
        <w:rPr>
          <w:color w:val="000000"/>
          <w:lang w:val="en-GB"/>
        </w:rPr>
        <w:t>The aim of this course is to understand the basic concepts and principles in the calculation of simple and compound interest for the identification of investment alternatives and the selection of the best to streamline investment decisions.</w:t>
      </w:r>
    </w:p>
    <w:p w:rsidR="003F2C47" w:rsidRPr="00E24A0C" w:rsidRDefault="003F2C47" w:rsidP="003F2C47">
      <w:pPr>
        <w:jc w:val="both"/>
        <w:rPr>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19"/>
        <w:gridCol w:w="1170"/>
        <w:gridCol w:w="1187"/>
      </w:tblGrid>
      <w:tr w:rsidR="00112152" w:rsidRPr="003F2C47" w:rsidTr="00112152">
        <w:trPr>
          <w:cantSplit/>
          <w:jc w:val="center"/>
        </w:trPr>
        <w:tc>
          <w:tcPr>
            <w:tcW w:w="3769" w:type="pct"/>
          </w:tcPr>
          <w:p w:rsidR="003F2C47" w:rsidRPr="00112152" w:rsidRDefault="003F2C47" w:rsidP="00112152">
            <w:pPr>
              <w:spacing w:line="276" w:lineRule="auto"/>
              <w:jc w:val="center"/>
              <w:rPr>
                <w:b/>
                <w:bCs/>
                <w:lang w:bidi="ar-EG"/>
              </w:rPr>
            </w:pPr>
            <w:r w:rsidRPr="00112152">
              <w:rPr>
                <w:b/>
                <w:bCs/>
                <w:lang w:val="fr-FR" w:bidi="ar-EG"/>
              </w:rPr>
              <w:t>Topics</w:t>
            </w:r>
          </w:p>
        </w:tc>
        <w:tc>
          <w:tcPr>
            <w:tcW w:w="611" w:type="pct"/>
          </w:tcPr>
          <w:p w:rsidR="003F2C47" w:rsidRPr="00112152" w:rsidRDefault="003F2C47" w:rsidP="00112152">
            <w:pPr>
              <w:spacing w:line="276" w:lineRule="auto"/>
              <w:jc w:val="center"/>
              <w:rPr>
                <w:b/>
                <w:bCs/>
                <w:lang w:bidi="ar-EG"/>
              </w:rPr>
            </w:pPr>
            <w:r w:rsidRPr="00112152">
              <w:rPr>
                <w:b/>
                <w:bCs/>
                <w:lang w:bidi="ar-EG"/>
              </w:rPr>
              <w:t>No of</w:t>
            </w:r>
          </w:p>
          <w:p w:rsidR="003F2C47" w:rsidRPr="00112152" w:rsidRDefault="003F2C47" w:rsidP="00112152">
            <w:pPr>
              <w:spacing w:line="276" w:lineRule="auto"/>
              <w:jc w:val="center"/>
              <w:rPr>
                <w:b/>
                <w:bCs/>
                <w:lang w:bidi="ar-EG"/>
              </w:rPr>
            </w:pPr>
            <w:r w:rsidRPr="00112152">
              <w:rPr>
                <w:b/>
                <w:bCs/>
                <w:lang w:bidi="ar-EG"/>
              </w:rPr>
              <w:t>Weeks</w:t>
            </w:r>
          </w:p>
        </w:tc>
        <w:tc>
          <w:tcPr>
            <w:tcW w:w="620" w:type="pct"/>
          </w:tcPr>
          <w:p w:rsidR="003F2C47" w:rsidRPr="00112152" w:rsidRDefault="003F2C47" w:rsidP="00112152">
            <w:pPr>
              <w:spacing w:line="276" w:lineRule="auto"/>
              <w:jc w:val="center"/>
              <w:rPr>
                <w:b/>
                <w:bCs/>
                <w:lang w:bidi="ar-EG"/>
              </w:rPr>
            </w:pPr>
            <w:r w:rsidRPr="00112152">
              <w:rPr>
                <w:b/>
                <w:bCs/>
                <w:lang w:bidi="ar-EG"/>
              </w:rPr>
              <w:t>Contact hours</w:t>
            </w:r>
          </w:p>
        </w:tc>
      </w:tr>
      <w:tr w:rsidR="00112152" w:rsidRPr="003F2C47" w:rsidTr="00112152">
        <w:trPr>
          <w:cantSplit/>
          <w:jc w:val="center"/>
        </w:trPr>
        <w:tc>
          <w:tcPr>
            <w:tcW w:w="3769" w:type="pct"/>
          </w:tcPr>
          <w:p w:rsidR="003F2C47" w:rsidRPr="003F2C47" w:rsidRDefault="003F2C47" w:rsidP="00112152">
            <w:pPr>
              <w:pStyle w:val="ListParagraph"/>
              <w:numPr>
                <w:ilvl w:val="0"/>
                <w:numId w:val="2"/>
              </w:numPr>
              <w:spacing w:line="276" w:lineRule="auto"/>
              <w:jc w:val="lowKashida"/>
              <w:rPr>
                <w:lang w:bidi="ar-EG"/>
              </w:rPr>
            </w:pPr>
            <w:r w:rsidRPr="003F2C47">
              <w:t xml:space="preserve">Introduction and definitions  </w:t>
            </w:r>
          </w:p>
        </w:tc>
        <w:tc>
          <w:tcPr>
            <w:tcW w:w="611" w:type="pct"/>
          </w:tcPr>
          <w:p w:rsidR="003F2C47" w:rsidRPr="003F2C47" w:rsidRDefault="003F2C47" w:rsidP="00112152">
            <w:pPr>
              <w:spacing w:line="276" w:lineRule="auto"/>
              <w:jc w:val="center"/>
              <w:rPr>
                <w:lang w:bidi="ar-EG"/>
              </w:rPr>
            </w:pPr>
            <w:r w:rsidRPr="003F2C47">
              <w:rPr>
                <w:lang w:bidi="ar-EG"/>
              </w:rPr>
              <w:t>2</w:t>
            </w:r>
          </w:p>
        </w:tc>
        <w:tc>
          <w:tcPr>
            <w:tcW w:w="620" w:type="pct"/>
          </w:tcPr>
          <w:p w:rsidR="003F2C47" w:rsidRPr="003F2C47" w:rsidRDefault="003F2C47" w:rsidP="00112152">
            <w:pPr>
              <w:spacing w:line="276" w:lineRule="auto"/>
              <w:jc w:val="center"/>
              <w:rPr>
                <w:lang w:bidi="ar-EG"/>
              </w:rPr>
            </w:pPr>
            <w:r w:rsidRPr="003F2C47">
              <w:rPr>
                <w:lang w:bidi="ar-EG"/>
              </w:rPr>
              <w:t>6</w:t>
            </w:r>
          </w:p>
        </w:tc>
      </w:tr>
      <w:tr w:rsidR="00112152" w:rsidRPr="003F2C47" w:rsidTr="00112152">
        <w:trPr>
          <w:cantSplit/>
          <w:jc w:val="center"/>
        </w:trPr>
        <w:tc>
          <w:tcPr>
            <w:tcW w:w="3769" w:type="pct"/>
          </w:tcPr>
          <w:p w:rsidR="003F2C47" w:rsidRPr="003F2C47" w:rsidRDefault="003F2C47" w:rsidP="00112152">
            <w:pPr>
              <w:pStyle w:val="ListParagraph"/>
              <w:numPr>
                <w:ilvl w:val="0"/>
                <w:numId w:val="2"/>
              </w:numPr>
              <w:spacing w:line="276" w:lineRule="auto"/>
              <w:jc w:val="lowKashida"/>
              <w:rPr>
                <w:lang w:bidi="ar-EG"/>
              </w:rPr>
            </w:pPr>
            <w:r w:rsidRPr="003F2C47">
              <w:t>The general law of simple interest</w:t>
            </w:r>
          </w:p>
        </w:tc>
        <w:tc>
          <w:tcPr>
            <w:tcW w:w="611" w:type="pct"/>
          </w:tcPr>
          <w:p w:rsidR="003F2C47" w:rsidRPr="003F2C47" w:rsidRDefault="003F2C47" w:rsidP="00112152">
            <w:pPr>
              <w:spacing w:line="276" w:lineRule="auto"/>
              <w:jc w:val="center"/>
              <w:rPr>
                <w:lang w:bidi="ar-EG"/>
              </w:rPr>
            </w:pPr>
            <w:r w:rsidRPr="003F2C47">
              <w:rPr>
                <w:lang w:bidi="ar-EG"/>
              </w:rPr>
              <w:t>1</w:t>
            </w:r>
          </w:p>
        </w:tc>
        <w:tc>
          <w:tcPr>
            <w:tcW w:w="620" w:type="pct"/>
          </w:tcPr>
          <w:p w:rsidR="003F2C47" w:rsidRPr="003F2C47" w:rsidRDefault="003F2C47" w:rsidP="00112152">
            <w:pPr>
              <w:spacing w:line="276" w:lineRule="auto"/>
              <w:jc w:val="center"/>
              <w:rPr>
                <w:lang w:bidi="ar-EG"/>
              </w:rPr>
            </w:pPr>
            <w:r w:rsidRPr="003F2C47">
              <w:rPr>
                <w:lang w:bidi="ar-EG"/>
              </w:rPr>
              <w:t>3</w:t>
            </w:r>
          </w:p>
        </w:tc>
      </w:tr>
      <w:tr w:rsidR="00112152" w:rsidRPr="003F2C47" w:rsidTr="00112152">
        <w:trPr>
          <w:cantSplit/>
          <w:jc w:val="center"/>
        </w:trPr>
        <w:tc>
          <w:tcPr>
            <w:tcW w:w="3769" w:type="pct"/>
          </w:tcPr>
          <w:p w:rsidR="003F2C47" w:rsidRPr="003F2C47" w:rsidRDefault="003F2C47" w:rsidP="00112152">
            <w:pPr>
              <w:pStyle w:val="ListParagraph"/>
              <w:numPr>
                <w:ilvl w:val="0"/>
                <w:numId w:val="2"/>
              </w:numPr>
              <w:spacing w:line="276" w:lineRule="auto"/>
              <w:jc w:val="lowKashida"/>
              <w:rPr>
                <w:lang w:bidi="ar-EG"/>
              </w:rPr>
            </w:pPr>
            <w:r w:rsidRPr="003F2C47">
              <w:t xml:space="preserve">True and commercial interest </w:t>
            </w:r>
          </w:p>
        </w:tc>
        <w:tc>
          <w:tcPr>
            <w:tcW w:w="611" w:type="pct"/>
          </w:tcPr>
          <w:p w:rsidR="003F2C47" w:rsidRPr="003F2C47" w:rsidRDefault="003F2C47" w:rsidP="00112152">
            <w:pPr>
              <w:spacing w:line="276" w:lineRule="auto"/>
              <w:jc w:val="center"/>
              <w:rPr>
                <w:lang w:bidi="ar-EG"/>
              </w:rPr>
            </w:pPr>
            <w:r w:rsidRPr="003F2C47">
              <w:rPr>
                <w:lang w:bidi="ar-EG"/>
              </w:rPr>
              <w:t>1</w:t>
            </w:r>
          </w:p>
        </w:tc>
        <w:tc>
          <w:tcPr>
            <w:tcW w:w="620" w:type="pct"/>
          </w:tcPr>
          <w:p w:rsidR="003F2C47" w:rsidRPr="003F2C47" w:rsidRDefault="003F2C47" w:rsidP="00112152">
            <w:pPr>
              <w:spacing w:line="276" w:lineRule="auto"/>
              <w:jc w:val="center"/>
              <w:rPr>
                <w:lang w:bidi="ar-EG"/>
              </w:rPr>
            </w:pPr>
            <w:r w:rsidRPr="003F2C47">
              <w:rPr>
                <w:lang w:bidi="ar-EG"/>
              </w:rPr>
              <w:t>3</w:t>
            </w:r>
          </w:p>
        </w:tc>
      </w:tr>
      <w:tr w:rsidR="00112152" w:rsidRPr="003F2C47" w:rsidTr="00112152">
        <w:trPr>
          <w:cantSplit/>
          <w:jc w:val="center"/>
        </w:trPr>
        <w:tc>
          <w:tcPr>
            <w:tcW w:w="3769" w:type="pct"/>
          </w:tcPr>
          <w:p w:rsidR="003F2C47" w:rsidRPr="003F2C47" w:rsidRDefault="003F2C47" w:rsidP="00112152">
            <w:pPr>
              <w:pStyle w:val="ListParagraph"/>
              <w:numPr>
                <w:ilvl w:val="0"/>
                <w:numId w:val="2"/>
              </w:numPr>
              <w:spacing w:line="276" w:lineRule="auto"/>
              <w:rPr>
                <w:lang w:bidi="ar-EG"/>
              </w:rPr>
            </w:pPr>
            <w:r w:rsidRPr="003F2C47">
              <w:t>Present value and discount-the sum of annuities certain using fixed and variable simple interest rates</w:t>
            </w:r>
          </w:p>
        </w:tc>
        <w:tc>
          <w:tcPr>
            <w:tcW w:w="611" w:type="pct"/>
          </w:tcPr>
          <w:p w:rsidR="003F2C47" w:rsidRPr="003F2C47" w:rsidRDefault="003F2C47" w:rsidP="00112152">
            <w:pPr>
              <w:spacing w:line="276" w:lineRule="auto"/>
              <w:jc w:val="center"/>
              <w:rPr>
                <w:lang w:bidi="ar-EG"/>
              </w:rPr>
            </w:pPr>
            <w:r w:rsidRPr="003F2C47">
              <w:rPr>
                <w:lang w:bidi="ar-EG"/>
              </w:rPr>
              <w:t>3</w:t>
            </w:r>
          </w:p>
        </w:tc>
        <w:tc>
          <w:tcPr>
            <w:tcW w:w="620" w:type="pct"/>
            <w:vAlign w:val="center"/>
          </w:tcPr>
          <w:p w:rsidR="003F2C47" w:rsidRPr="003F2C47" w:rsidRDefault="003F2C47" w:rsidP="00112152">
            <w:pPr>
              <w:spacing w:line="276" w:lineRule="auto"/>
              <w:jc w:val="center"/>
              <w:rPr>
                <w:lang w:bidi="ar-EG"/>
              </w:rPr>
            </w:pPr>
            <w:r w:rsidRPr="003F2C47">
              <w:rPr>
                <w:lang w:bidi="ar-EG"/>
              </w:rPr>
              <w:t>9</w:t>
            </w:r>
          </w:p>
        </w:tc>
      </w:tr>
      <w:tr w:rsidR="00112152" w:rsidRPr="003F2C47" w:rsidTr="00112152">
        <w:trPr>
          <w:cantSplit/>
          <w:jc w:val="center"/>
        </w:trPr>
        <w:tc>
          <w:tcPr>
            <w:tcW w:w="3769" w:type="pct"/>
          </w:tcPr>
          <w:p w:rsidR="003F2C47" w:rsidRPr="003F2C47" w:rsidRDefault="003F2C47" w:rsidP="00112152">
            <w:pPr>
              <w:pStyle w:val="ListParagraph"/>
              <w:numPr>
                <w:ilvl w:val="0"/>
                <w:numId w:val="2"/>
              </w:numPr>
              <w:spacing w:line="276" w:lineRule="auto"/>
              <w:rPr>
                <w:lang w:bidi="ar-EG"/>
              </w:rPr>
            </w:pPr>
            <w:r w:rsidRPr="003F2C47">
              <w:t>Some practical applications on simple interest including methods of redemption of short term loans, modification of  loans and saving accounts</w:t>
            </w:r>
          </w:p>
        </w:tc>
        <w:tc>
          <w:tcPr>
            <w:tcW w:w="611" w:type="pct"/>
          </w:tcPr>
          <w:p w:rsidR="003F2C47" w:rsidRPr="003F2C47" w:rsidRDefault="003F2C47" w:rsidP="00112152">
            <w:pPr>
              <w:spacing w:line="276" w:lineRule="auto"/>
              <w:jc w:val="center"/>
              <w:rPr>
                <w:lang w:bidi="ar-EG"/>
              </w:rPr>
            </w:pPr>
            <w:r w:rsidRPr="003F2C47">
              <w:rPr>
                <w:lang w:bidi="ar-EG"/>
              </w:rPr>
              <w:t>3</w:t>
            </w:r>
          </w:p>
        </w:tc>
        <w:tc>
          <w:tcPr>
            <w:tcW w:w="620" w:type="pct"/>
          </w:tcPr>
          <w:p w:rsidR="003F2C47" w:rsidRPr="003F2C47" w:rsidRDefault="003F2C47" w:rsidP="00112152">
            <w:pPr>
              <w:spacing w:line="276" w:lineRule="auto"/>
              <w:jc w:val="center"/>
              <w:rPr>
                <w:lang w:bidi="ar-EG"/>
              </w:rPr>
            </w:pPr>
            <w:r w:rsidRPr="003F2C47">
              <w:rPr>
                <w:lang w:bidi="ar-EG"/>
              </w:rPr>
              <w:t>9</w:t>
            </w:r>
          </w:p>
        </w:tc>
      </w:tr>
      <w:tr w:rsidR="00112152" w:rsidRPr="003F2C47" w:rsidTr="00112152">
        <w:trPr>
          <w:cantSplit/>
          <w:jc w:val="center"/>
        </w:trPr>
        <w:tc>
          <w:tcPr>
            <w:tcW w:w="3769" w:type="pct"/>
          </w:tcPr>
          <w:p w:rsidR="003F2C47" w:rsidRPr="003F2C47" w:rsidRDefault="003F2C47" w:rsidP="00112152">
            <w:pPr>
              <w:pStyle w:val="ListParagraph"/>
              <w:numPr>
                <w:ilvl w:val="0"/>
                <w:numId w:val="2"/>
              </w:numPr>
              <w:spacing w:line="276" w:lineRule="auto"/>
              <w:rPr>
                <w:lang w:bidi="ar-EG"/>
              </w:rPr>
            </w:pPr>
            <w:r w:rsidRPr="003F2C47">
              <w:t xml:space="preserve">The general law of compound interest: the sum, present values and discount –the nominal rate of compound interest </w:t>
            </w:r>
          </w:p>
        </w:tc>
        <w:tc>
          <w:tcPr>
            <w:tcW w:w="611" w:type="pct"/>
          </w:tcPr>
          <w:p w:rsidR="003F2C47" w:rsidRPr="003F2C47" w:rsidRDefault="003F2C47" w:rsidP="00112152">
            <w:pPr>
              <w:spacing w:line="276" w:lineRule="auto"/>
              <w:jc w:val="center"/>
              <w:rPr>
                <w:lang w:bidi="ar-EG"/>
              </w:rPr>
            </w:pPr>
            <w:r w:rsidRPr="003F2C47">
              <w:rPr>
                <w:lang w:bidi="ar-EG"/>
              </w:rPr>
              <w:t>1</w:t>
            </w:r>
          </w:p>
        </w:tc>
        <w:tc>
          <w:tcPr>
            <w:tcW w:w="620" w:type="pct"/>
          </w:tcPr>
          <w:p w:rsidR="003F2C47" w:rsidRPr="003F2C47" w:rsidRDefault="003F2C47" w:rsidP="00112152">
            <w:pPr>
              <w:spacing w:line="276" w:lineRule="auto"/>
              <w:jc w:val="center"/>
              <w:rPr>
                <w:lang w:bidi="ar-EG"/>
              </w:rPr>
            </w:pPr>
            <w:r w:rsidRPr="003F2C47">
              <w:rPr>
                <w:lang w:bidi="ar-EG"/>
              </w:rPr>
              <w:t>3</w:t>
            </w:r>
          </w:p>
        </w:tc>
      </w:tr>
      <w:tr w:rsidR="00112152" w:rsidRPr="003F2C47" w:rsidTr="00112152">
        <w:trPr>
          <w:cantSplit/>
          <w:jc w:val="center"/>
        </w:trPr>
        <w:tc>
          <w:tcPr>
            <w:tcW w:w="3769" w:type="pct"/>
          </w:tcPr>
          <w:p w:rsidR="003F2C47" w:rsidRPr="003F2C47" w:rsidRDefault="003F2C47" w:rsidP="00112152">
            <w:pPr>
              <w:pStyle w:val="ListParagraph"/>
              <w:numPr>
                <w:ilvl w:val="0"/>
                <w:numId w:val="2"/>
              </w:numPr>
              <w:spacing w:line="276" w:lineRule="auto"/>
              <w:rPr>
                <w:lang w:bidi="ar-EG"/>
              </w:rPr>
            </w:pPr>
            <w:r w:rsidRPr="003F2C47">
              <w:t>The calculation of the sum and present value of annuities –certain with fixed and variable compound rates of interest</w:t>
            </w:r>
          </w:p>
        </w:tc>
        <w:tc>
          <w:tcPr>
            <w:tcW w:w="611" w:type="pct"/>
          </w:tcPr>
          <w:p w:rsidR="003F2C47" w:rsidRPr="003F2C47" w:rsidRDefault="003F2C47" w:rsidP="00112152">
            <w:pPr>
              <w:spacing w:line="276" w:lineRule="auto"/>
              <w:jc w:val="center"/>
              <w:rPr>
                <w:lang w:bidi="ar-EG"/>
              </w:rPr>
            </w:pPr>
            <w:r w:rsidRPr="003F2C47">
              <w:rPr>
                <w:lang w:bidi="ar-EG"/>
              </w:rPr>
              <w:t>2</w:t>
            </w:r>
          </w:p>
        </w:tc>
        <w:tc>
          <w:tcPr>
            <w:tcW w:w="620" w:type="pct"/>
            <w:vAlign w:val="center"/>
          </w:tcPr>
          <w:p w:rsidR="003F2C47" w:rsidRPr="003F2C47" w:rsidRDefault="003F2C47" w:rsidP="00112152">
            <w:pPr>
              <w:spacing w:line="276" w:lineRule="auto"/>
              <w:jc w:val="center"/>
              <w:rPr>
                <w:lang w:bidi="ar-EG"/>
              </w:rPr>
            </w:pPr>
            <w:r w:rsidRPr="003F2C47">
              <w:rPr>
                <w:lang w:bidi="ar-EG"/>
              </w:rPr>
              <w:t>6</w:t>
            </w:r>
          </w:p>
        </w:tc>
      </w:tr>
      <w:tr w:rsidR="00112152" w:rsidRPr="003F2C47" w:rsidTr="00112152">
        <w:trPr>
          <w:cantSplit/>
          <w:trHeight w:val="728"/>
          <w:jc w:val="center"/>
        </w:trPr>
        <w:tc>
          <w:tcPr>
            <w:tcW w:w="3769" w:type="pct"/>
          </w:tcPr>
          <w:p w:rsidR="003F2C47" w:rsidRPr="003F2C47" w:rsidRDefault="003F2C47" w:rsidP="00112152">
            <w:pPr>
              <w:pStyle w:val="ListParagraph"/>
              <w:numPr>
                <w:ilvl w:val="0"/>
                <w:numId w:val="2"/>
              </w:numPr>
              <w:spacing w:line="276" w:lineRule="auto"/>
              <w:rPr>
                <w:lang w:bidi="ar-EG"/>
              </w:rPr>
            </w:pPr>
            <w:r w:rsidRPr="003F2C47">
              <w:rPr>
                <w:lang w:bidi="ar-EG"/>
              </w:rPr>
              <w:t>The nominal Interest Rate (</w:t>
            </w:r>
            <w:proofErr w:type="spellStart"/>
            <w:r w:rsidRPr="003F2C47">
              <w:rPr>
                <w:lang w:bidi="ar-EG"/>
              </w:rPr>
              <w:t>I</w:t>
            </w:r>
            <w:r w:rsidRPr="00422861">
              <w:rPr>
                <w:i/>
                <w:iCs/>
                <w:vertAlign w:val="subscript"/>
                <w:lang w:bidi="ar-EG"/>
              </w:rPr>
              <w:t>nom</w:t>
            </w:r>
            <w:proofErr w:type="spellEnd"/>
            <w:r w:rsidRPr="003F2C47">
              <w:rPr>
                <w:lang w:bidi="ar-EG"/>
              </w:rPr>
              <w:t>), The Periodic Rate (</w:t>
            </w:r>
            <w:proofErr w:type="spellStart"/>
            <w:r w:rsidRPr="003F2C47">
              <w:rPr>
                <w:lang w:bidi="ar-EG"/>
              </w:rPr>
              <w:t>I</w:t>
            </w:r>
            <w:r w:rsidRPr="00422861">
              <w:rPr>
                <w:i/>
                <w:iCs/>
                <w:vertAlign w:val="subscript"/>
                <w:lang w:bidi="ar-EG"/>
              </w:rPr>
              <w:t>per</w:t>
            </w:r>
            <w:proofErr w:type="spellEnd"/>
            <w:r w:rsidRPr="003F2C47">
              <w:rPr>
                <w:lang w:bidi="ar-EG"/>
              </w:rPr>
              <w:t>) and the Effective Annual Rate (EAR)</w:t>
            </w:r>
          </w:p>
        </w:tc>
        <w:tc>
          <w:tcPr>
            <w:tcW w:w="611" w:type="pct"/>
            <w:vAlign w:val="center"/>
          </w:tcPr>
          <w:p w:rsidR="003F2C47" w:rsidRPr="003F2C47" w:rsidRDefault="003F2C47" w:rsidP="00112152">
            <w:pPr>
              <w:spacing w:line="276" w:lineRule="auto"/>
              <w:jc w:val="center"/>
              <w:rPr>
                <w:lang w:bidi="ar-EG"/>
              </w:rPr>
            </w:pPr>
            <w:r w:rsidRPr="003F2C47">
              <w:rPr>
                <w:lang w:bidi="ar-EG"/>
              </w:rPr>
              <w:t>1</w:t>
            </w:r>
          </w:p>
          <w:p w:rsidR="003F2C47" w:rsidRPr="003F2C47" w:rsidRDefault="003F2C47" w:rsidP="00112152">
            <w:pPr>
              <w:spacing w:line="276" w:lineRule="auto"/>
              <w:jc w:val="center"/>
              <w:rPr>
                <w:lang w:bidi="ar-EG"/>
              </w:rPr>
            </w:pPr>
          </w:p>
        </w:tc>
        <w:tc>
          <w:tcPr>
            <w:tcW w:w="620" w:type="pct"/>
            <w:vAlign w:val="center"/>
          </w:tcPr>
          <w:p w:rsidR="003F2C47" w:rsidRPr="003F2C47" w:rsidRDefault="003F2C47" w:rsidP="00112152">
            <w:pPr>
              <w:spacing w:line="276" w:lineRule="auto"/>
              <w:jc w:val="center"/>
              <w:rPr>
                <w:lang w:bidi="ar-EG"/>
              </w:rPr>
            </w:pPr>
            <w:r w:rsidRPr="003F2C47">
              <w:rPr>
                <w:lang w:bidi="ar-EG"/>
              </w:rPr>
              <w:t>3</w:t>
            </w:r>
          </w:p>
        </w:tc>
      </w:tr>
    </w:tbl>
    <w:p w:rsidR="003F2C47" w:rsidRDefault="003F2C47" w:rsidP="003F2C47">
      <w:pPr>
        <w:jc w:val="both"/>
        <w:rPr>
          <w:lang w:val="en-AU"/>
        </w:rPr>
      </w:pPr>
    </w:p>
    <w:p w:rsidR="00580C2B" w:rsidRDefault="00580C2B" w:rsidP="003F2C47">
      <w:pPr>
        <w:jc w:val="both"/>
        <w:rPr>
          <w:b/>
          <w:bCs/>
          <w:sz w:val="28"/>
          <w:szCs w:val="28"/>
          <w:lang w:val="en-AU"/>
        </w:rPr>
      </w:pPr>
      <w:r w:rsidRPr="00B84754">
        <w:rPr>
          <w:b/>
          <w:bCs/>
          <w:sz w:val="28"/>
          <w:szCs w:val="28"/>
          <w:lang w:val="en-AU"/>
        </w:rPr>
        <w:t>Recommended Study Materials:</w:t>
      </w:r>
    </w:p>
    <w:p w:rsidR="00B84754" w:rsidRPr="00580C2B" w:rsidRDefault="00B84754" w:rsidP="003F2C47">
      <w:pPr>
        <w:jc w:val="both"/>
        <w:rPr>
          <w:b/>
          <w:bCs/>
          <w:lang w:val="en-AU"/>
        </w:rPr>
      </w:pPr>
    </w:p>
    <w:p w:rsidR="00580C2B" w:rsidRPr="00580C2B" w:rsidRDefault="00580C2B" w:rsidP="00580C2B">
      <w:pPr>
        <w:pStyle w:val="ListParagraph"/>
        <w:numPr>
          <w:ilvl w:val="0"/>
          <w:numId w:val="3"/>
        </w:numPr>
        <w:jc w:val="both"/>
        <w:rPr>
          <w:lang w:bidi="ar-EG"/>
        </w:rPr>
      </w:pPr>
      <w:r w:rsidRPr="00580C2B">
        <w:rPr>
          <w:lang w:bidi="ar-EG"/>
        </w:rPr>
        <w:t xml:space="preserve">An Undergraduate Introduction to Financial Mathematics </w:t>
      </w:r>
      <w:r w:rsidRPr="00580C2B">
        <w:rPr>
          <w:i/>
          <w:iCs/>
          <w:lang w:bidi="ar-EG"/>
        </w:rPr>
        <w:t xml:space="preserve">by </w:t>
      </w:r>
      <w:hyperlink r:id="rId7" w:history="1">
        <w:r w:rsidRPr="00580C2B">
          <w:rPr>
            <w:b/>
            <w:bCs/>
            <w:lang w:bidi="ar-EG"/>
          </w:rPr>
          <w:t>J. Robert Buchanan</w:t>
        </w:r>
      </w:hyperlink>
      <w:r w:rsidRPr="00580C2B">
        <w:rPr>
          <w:lang w:bidi="ar-EG"/>
        </w:rPr>
        <w:t>, Barnes &amp; Noble, New York, 2008.</w:t>
      </w:r>
    </w:p>
    <w:p w:rsidR="003E57D5" w:rsidRDefault="00580C2B" w:rsidP="00580C2B">
      <w:pPr>
        <w:pStyle w:val="ListParagraph"/>
        <w:numPr>
          <w:ilvl w:val="0"/>
          <w:numId w:val="3"/>
        </w:numPr>
        <w:jc w:val="both"/>
        <w:rPr>
          <w:lang w:val="en-AU"/>
        </w:rPr>
      </w:pPr>
      <w:r w:rsidRPr="00580C2B">
        <w:rPr>
          <w:lang w:val="en-AU"/>
        </w:rPr>
        <w:t xml:space="preserve"> </w:t>
      </w:r>
      <w:r>
        <w:rPr>
          <w:lang w:val="en-AU"/>
        </w:rPr>
        <w:t>Mathematics for Management and Finance (8</w:t>
      </w:r>
      <w:r w:rsidRPr="00580C2B">
        <w:rPr>
          <w:vertAlign w:val="superscript"/>
          <w:lang w:val="en-AU"/>
        </w:rPr>
        <w:t>th</w:t>
      </w:r>
      <w:r>
        <w:rPr>
          <w:lang w:val="en-AU"/>
        </w:rPr>
        <w:t xml:space="preserve"> ed.) </w:t>
      </w:r>
      <w:r w:rsidRPr="00580C2B">
        <w:rPr>
          <w:i/>
          <w:iCs/>
          <w:lang w:val="en-AU"/>
        </w:rPr>
        <w:t>by</w:t>
      </w:r>
      <w:r>
        <w:rPr>
          <w:lang w:val="en-AU"/>
        </w:rPr>
        <w:t xml:space="preserve"> </w:t>
      </w:r>
      <w:r w:rsidRPr="00580C2B">
        <w:rPr>
          <w:b/>
          <w:bCs/>
          <w:lang w:val="en-AU"/>
        </w:rPr>
        <w:t>Shao &amp; Shao</w:t>
      </w:r>
      <w:r>
        <w:rPr>
          <w:lang w:val="en-AU"/>
        </w:rPr>
        <w:t>, South- Western College Publishing, Cincinnati, Ohio. ISBN- 0-538-87099-0</w:t>
      </w:r>
    </w:p>
    <w:p w:rsidR="003E57D5" w:rsidRPr="00B84754" w:rsidRDefault="00580C2B" w:rsidP="00A15AB4">
      <w:pPr>
        <w:pStyle w:val="ListParagraph"/>
        <w:numPr>
          <w:ilvl w:val="0"/>
          <w:numId w:val="3"/>
        </w:numPr>
        <w:jc w:val="both"/>
        <w:rPr>
          <w:lang w:val="en-AU"/>
        </w:rPr>
      </w:pPr>
      <w:r>
        <w:rPr>
          <w:lang w:val="en-AU"/>
        </w:rPr>
        <w:t xml:space="preserve">Reading and Practice Material prepared </w:t>
      </w:r>
      <w:r w:rsidRPr="00580C2B">
        <w:rPr>
          <w:i/>
          <w:iCs/>
          <w:lang w:val="en-AU"/>
        </w:rPr>
        <w:t>by</w:t>
      </w:r>
      <w:r>
        <w:rPr>
          <w:lang w:val="en-AU"/>
        </w:rPr>
        <w:t xml:space="preserve"> the Instructor- </w:t>
      </w:r>
      <w:proofErr w:type="spellStart"/>
      <w:r w:rsidRPr="00580C2B">
        <w:rPr>
          <w:b/>
          <w:bCs/>
          <w:lang w:val="en-AU"/>
        </w:rPr>
        <w:t>Dr.</w:t>
      </w:r>
      <w:proofErr w:type="spellEnd"/>
      <w:r w:rsidRPr="00580C2B">
        <w:rPr>
          <w:b/>
          <w:bCs/>
          <w:lang w:val="en-AU"/>
        </w:rPr>
        <w:t xml:space="preserve"> Md. </w:t>
      </w:r>
      <w:proofErr w:type="spellStart"/>
      <w:r w:rsidRPr="00580C2B">
        <w:rPr>
          <w:b/>
          <w:bCs/>
          <w:lang w:val="en-AU"/>
        </w:rPr>
        <w:t>Izhar</w:t>
      </w:r>
      <w:proofErr w:type="spellEnd"/>
      <w:r w:rsidRPr="00580C2B">
        <w:rPr>
          <w:b/>
          <w:bCs/>
          <w:lang w:val="en-AU"/>
        </w:rPr>
        <w:t xml:space="preserve"> </w:t>
      </w:r>
      <w:proofErr w:type="spellStart"/>
      <w:r w:rsidRPr="00580C2B">
        <w:rPr>
          <w:b/>
          <w:bCs/>
          <w:lang w:val="en-AU"/>
        </w:rPr>
        <w:t>Alam</w:t>
      </w:r>
      <w:proofErr w:type="spellEnd"/>
    </w:p>
    <w:p w:rsidR="00561B02" w:rsidRDefault="00561B02" w:rsidP="00B84754">
      <w:pPr>
        <w:jc w:val="both"/>
        <w:rPr>
          <w:lang w:val="en-AU"/>
        </w:rPr>
      </w:pPr>
    </w:p>
    <w:p w:rsidR="00561B02" w:rsidRDefault="00561B02" w:rsidP="00B84754">
      <w:pPr>
        <w:jc w:val="both"/>
        <w:rPr>
          <w:lang w:val="en-AU"/>
        </w:rPr>
      </w:pPr>
    </w:p>
    <w:p w:rsidR="00561B02" w:rsidRDefault="00561B02" w:rsidP="00B84754">
      <w:pPr>
        <w:jc w:val="both"/>
        <w:rPr>
          <w:lang w:val="en-AU"/>
        </w:rPr>
      </w:pPr>
    </w:p>
    <w:p w:rsidR="00561B02" w:rsidRDefault="00561B02" w:rsidP="00B84754">
      <w:pPr>
        <w:jc w:val="both"/>
        <w:rPr>
          <w:lang w:val="en-AU"/>
        </w:rPr>
      </w:pPr>
    </w:p>
    <w:p w:rsidR="00561B02" w:rsidRDefault="00561B02" w:rsidP="00B84754">
      <w:pPr>
        <w:jc w:val="both"/>
        <w:rPr>
          <w:lang w:val="en-AU"/>
        </w:rPr>
      </w:pPr>
    </w:p>
    <w:p w:rsidR="00D62FF2" w:rsidRPr="00B84754" w:rsidRDefault="00D62FF2" w:rsidP="00D62FF2">
      <w:pPr>
        <w:jc w:val="both"/>
        <w:rPr>
          <w:b/>
          <w:bCs/>
          <w:sz w:val="28"/>
          <w:szCs w:val="28"/>
          <w:lang w:val="en-AU"/>
        </w:rPr>
      </w:pPr>
      <w:r w:rsidRPr="00B84754">
        <w:rPr>
          <w:b/>
          <w:bCs/>
          <w:sz w:val="28"/>
          <w:szCs w:val="28"/>
          <w:lang w:val="en-AU"/>
        </w:rPr>
        <w:lastRenderedPageBreak/>
        <w:t xml:space="preserve">Exams: </w:t>
      </w:r>
    </w:p>
    <w:p w:rsidR="00D62FF2" w:rsidRPr="00B84754" w:rsidRDefault="00D62FF2" w:rsidP="00D62FF2">
      <w:pPr>
        <w:jc w:val="both"/>
        <w:rPr>
          <w:lang w:val="en-A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18"/>
        <w:gridCol w:w="2358"/>
      </w:tblGrid>
      <w:tr w:rsidR="00D62FF2" w:rsidRPr="00112152" w:rsidTr="00A15336">
        <w:tc>
          <w:tcPr>
            <w:tcW w:w="3769" w:type="pct"/>
          </w:tcPr>
          <w:p w:rsidR="00D62FF2" w:rsidRPr="001C5447" w:rsidRDefault="00D62FF2" w:rsidP="00A15336">
            <w:pPr>
              <w:spacing w:line="216" w:lineRule="auto"/>
              <w:rPr>
                <w:b/>
                <w:bCs/>
                <w:lang w:bidi="ar-EG"/>
              </w:rPr>
            </w:pPr>
            <w:r w:rsidRPr="001C5447">
              <w:rPr>
                <w:b/>
                <w:bCs/>
                <w:lang w:bidi="ar-EG"/>
              </w:rPr>
              <w:t>Assessment task (e.g. essay, test, group project, examination etc.)</w:t>
            </w:r>
          </w:p>
        </w:tc>
        <w:tc>
          <w:tcPr>
            <w:tcW w:w="1231" w:type="pct"/>
          </w:tcPr>
          <w:p w:rsidR="00D62FF2" w:rsidRPr="00112152" w:rsidRDefault="00D62FF2" w:rsidP="00A15336">
            <w:pPr>
              <w:spacing w:line="216" w:lineRule="auto"/>
              <w:rPr>
                <w:lang w:bidi="ar-EG"/>
              </w:rPr>
            </w:pPr>
            <w:r w:rsidRPr="00112152">
              <w:rPr>
                <w:lang w:bidi="ar-EG"/>
              </w:rPr>
              <w:t>Proportion of Final Assessment</w:t>
            </w:r>
          </w:p>
        </w:tc>
      </w:tr>
      <w:tr w:rsidR="00D62FF2" w:rsidRPr="00112152" w:rsidTr="00A15336">
        <w:trPr>
          <w:trHeight w:val="260"/>
        </w:trPr>
        <w:tc>
          <w:tcPr>
            <w:tcW w:w="3769" w:type="pct"/>
          </w:tcPr>
          <w:p w:rsidR="00D62FF2" w:rsidRPr="00112152" w:rsidRDefault="00D62FF2" w:rsidP="00A15336">
            <w:r w:rsidRPr="001C5447">
              <w:rPr>
                <w:b/>
                <w:bCs/>
              </w:rPr>
              <w:t>Midterm 1</w:t>
            </w:r>
            <w:r w:rsidRPr="00112152">
              <w:t xml:space="preserve"> </w:t>
            </w:r>
            <w:r>
              <w:t>(Multiple Choice Questions, Written type and Calculation based questions)</w:t>
            </w:r>
            <w:r w:rsidRPr="00112152">
              <w:t xml:space="preserve">                                </w:t>
            </w:r>
          </w:p>
        </w:tc>
        <w:tc>
          <w:tcPr>
            <w:tcW w:w="1231" w:type="pct"/>
          </w:tcPr>
          <w:p w:rsidR="00D62FF2" w:rsidRPr="00112152" w:rsidRDefault="00D62FF2" w:rsidP="00A15336">
            <w:pPr>
              <w:spacing w:line="216" w:lineRule="auto"/>
              <w:jc w:val="center"/>
              <w:rPr>
                <w:lang w:bidi="ar-EG"/>
              </w:rPr>
            </w:pPr>
            <w:r w:rsidRPr="00112152">
              <w:rPr>
                <w:lang w:bidi="ar-EG"/>
              </w:rPr>
              <w:t>20%</w:t>
            </w:r>
          </w:p>
        </w:tc>
      </w:tr>
      <w:tr w:rsidR="00D62FF2" w:rsidRPr="00112152" w:rsidTr="00A15336">
        <w:trPr>
          <w:trHeight w:val="260"/>
        </w:trPr>
        <w:tc>
          <w:tcPr>
            <w:tcW w:w="3769" w:type="pct"/>
          </w:tcPr>
          <w:p w:rsidR="00D62FF2" w:rsidRPr="00112152" w:rsidRDefault="00D62FF2" w:rsidP="00A15336">
            <w:pPr>
              <w:tabs>
                <w:tab w:val="left" w:pos="1545"/>
              </w:tabs>
              <w:spacing w:line="216" w:lineRule="auto"/>
              <w:rPr>
                <w:lang w:bidi="ar-EG"/>
              </w:rPr>
            </w:pPr>
            <w:r w:rsidRPr="001C5447">
              <w:rPr>
                <w:b/>
                <w:bCs/>
              </w:rPr>
              <w:t>Midterm 2</w:t>
            </w:r>
            <w:r w:rsidRPr="00112152">
              <w:t xml:space="preserve">  </w:t>
            </w:r>
            <w:r>
              <w:t>(Multiple Choice Questions, Written type and Calculation based questions)</w:t>
            </w:r>
            <w:r w:rsidRPr="00112152">
              <w:t xml:space="preserve">                               </w:t>
            </w:r>
          </w:p>
        </w:tc>
        <w:tc>
          <w:tcPr>
            <w:tcW w:w="1231" w:type="pct"/>
          </w:tcPr>
          <w:p w:rsidR="00D62FF2" w:rsidRPr="00112152" w:rsidRDefault="00D62FF2" w:rsidP="00A15336">
            <w:pPr>
              <w:spacing w:line="216" w:lineRule="auto"/>
              <w:jc w:val="center"/>
              <w:rPr>
                <w:lang w:bidi="ar-EG"/>
              </w:rPr>
            </w:pPr>
            <w:r w:rsidRPr="00112152">
              <w:rPr>
                <w:lang w:bidi="ar-EG"/>
              </w:rPr>
              <w:t>20%</w:t>
            </w:r>
          </w:p>
        </w:tc>
      </w:tr>
      <w:tr w:rsidR="00D62FF2" w:rsidRPr="00112152" w:rsidTr="00A15336">
        <w:trPr>
          <w:trHeight w:val="260"/>
        </w:trPr>
        <w:tc>
          <w:tcPr>
            <w:tcW w:w="3769" w:type="pct"/>
          </w:tcPr>
          <w:p w:rsidR="00D62FF2" w:rsidRPr="00112152" w:rsidRDefault="00D62FF2" w:rsidP="00A15336">
            <w:r w:rsidRPr="001C5447">
              <w:rPr>
                <w:b/>
                <w:bCs/>
              </w:rPr>
              <w:t>Quizzes</w:t>
            </w:r>
            <w:r>
              <w:t xml:space="preserve"> (Two quizzes- 5 marks each; 10 multiple choice questions will be there)</w:t>
            </w:r>
          </w:p>
        </w:tc>
        <w:tc>
          <w:tcPr>
            <w:tcW w:w="1231" w:type="pct"/>
          </w:tcPr>
          <w:p w:rsidR="00D62FF2" w:rsidRPr="00112152" w:rsidRDefault="00D62FF2" w:rsidP="00A15336">
            <w:pPr>
              <w:spacing w:line="216" w:lineRule="auto"/>
              <w:jc w:val="center"/>
              <w:rPr>
                <w:lang w:bidi="ar-EG"/>
              </w:rPr>
            </w:pPr>
            <w:r w:rsidRPr="00112152">
              <w:rPr>
                <w:lang w:bidi="ar-EG"/>
              </w:rPr>
              <w:t>10%</w:t>
            </w:r>
          </w:p>
        </w:tc>
      </w:tr>
      <w:tr w:rsidR="00D62FF2" w:rsidRPr="00112152" w:rsidTr="00A15336">
        <w:trPr>
          <w:trHeight w:val="260"/>
        </w:trPr>
        <w:tc>
          <w:tcPr>
            <w:tcW w:w="3769" w:type="pct"/>
          </w:tcPr>
          <w:p w:rsidR="00D62FF2" w:rsidRPr="00112152" w:rsidRDefault="00D62FF2" w:rsidP="00A15336">
            <w:pPr>
              <w:spacing w:line="216" w:lineRule="auto"/>
              <w:rPr>
                <w:lang w:bidi="ar-EG"/>
              </w:rPr>
            </w:pPr>
            <w:r w:rsidRPr="001C5447">
              <w:rPr>
                <w:b/>
                <w:bCs/>
                <w:lang w:bidi="ar-EG"/>
              </w:rPr>
              <w:t>Final Exam</w:t>
            </w:r>
            <w:r>
              <w:rPr>
                <w:lang w:bidi="ar-EG"/>
              </w:rPr>
              <w:t xml:space="preserve"> (</w:t>
            </w:r>
            <w:r>
              <w:t>Multiple Choice Questions, Written type and Calculation based questions</w:t>
            </w:r>
            <w:r>
              <w:rPr>
                <w:lang w:bidi="ar-EG"/>
              </w:rPr>
              <w:t>)</w:t>
            </w:r>
          </w:p>
        </w:tc>
        <w:tc>
          <w:tcPr>
            <w:tcW w:w="1231" w:type="pct"/>
          </w:tcPr>
          <w:p w:rsidR="00D62FF2" w:rsidRPr="00112152" w:rsidRDefault="00D62FF2" w:rsidP="00A15336">
            <w:pPr>
              <w:spacing w:line="216" w:lineRule="auto"/>
              <w:jc w:val="center"/>
              <w:rPr>
                <w:lang w:bidi="ar-EG"/>
              </w:rPr>
            </w:pPr>
            <w:r w:rsidRPr="00112152">
              <w:rPr>
                <w:lang w:bidi="ar-EG"/>
              </w:rPr>
              <w:t>40%</w:t>
            </w:r>
          </w:p>
        </w:tc>
      </w:tr>
      <w:tr w:rsidR="00D62FF2" w:rsidRPr="00112152" w:rsidTr="00A15336">
        <w:trPr>
          <w:trHeight w:val="260"/>
        </w:trPr>
        <w:tc>
          <w:tcPr>
            <w:tcW w:w="3769" w:type="pct"/>
          </w:tcPr>
          <w:p w:rsidR="00D62FF2" w:rsidRPr="00112152" w:rsidRDefault="00D62FF2" w:rsidP="00A15336">
            <w:r w:rsidRPr="001C5447">
              <w:rPr>
                <w:b/>
                <w:bCs/>
                <w:lang w:bidi="ar-EG"/>
              </w:rPr>
              <w:t>Attendance, Participation and Homework</w:t>
            </w:r>
            <w:r w:rsidRPr="00112152">
              <w:t xml:space="preserve"> </w:t>
            </w:r>
            <w:r>
              <w:t>(5 marks for attendance and 5 marks for participation and homework)</w:t>
            </w:r>
            <w:r w:rsidRPr="00112152">
              <w:t xml:space="preserve">            </w:t>
            </w:r>
            <w:r>
              <w:t xml:space="preserve">                               </w:t>
            </w:r>
          </w:p>
        </w:tc>
        <w:tc>
          <w:tcPr>
            <w:tcW w:w="1231" w:type="pct"/>
          </w:tcPr>
          <w:p w:rsidR="00D62FF2" w:rsidRPr="00112152" w:rsidRDefault="00D62FF2" w:rsidP="00A15336">
            <w:pPr>
              <w:spacing w:line="216" w:lineRule="auto"/>
              <w:jc w:val="center"/>
              <w:rPr>
                <w:lang w:bidi="ar-EG"/>
              </w:rPr>
            </w:pPr>
            <w:r w:rsidRPr="00112152">
              <w:rPr>
                <w:lang w:bidi="ar-EG"/>
              </w:rPr>
              <w:t>10%</w:t>
            </w:r>
          </w:p>
        </w:tc>
      </w:tr>
    </w:tbl>
    <w:p w:rsidR="00D62FF2" w:rsidRDefault="00D62FF2" w:rsidP="007F28DC">
      <w:pPr>
        <w:rPr>
          <w:b/>
          <w:bCs/>
          <w:color w:val="000000"/>
        </w:rPr>
      </w:pPr>
    </w:p>
    <w:p w:rsidR="007F28DC" w:rsidRDefault="007F28DC" w:rsidP="007F28DC">
      <w:r>
        <w:rPr>
          <w:b/>
          <w:bCs/>
          <w:color w:val="000000"/>
        </w:rPr>
        <w:t>GRADES</w:t>
      </w:r>
      <w:r>
        <w:rPr>
          <w:color w:val="000000"/>
        </w:rPr>
        <w:t xml:space="preserve">: (The instructor abides by the following </w:t>
      </w:r>
      <w:r>
        <w:rPr>
          <w:rStyle w:val="yshortcuts"/>
          <w:color w:val="000000"/>
        </w:rPr>
        <w:t>grading scale</w:t>
      </w:r>
      <w:r>
        <w:rPr>
          <w:color w:val="000000"/>
        </w:rPr>
        <w:t xml:space="preserve"> strictly and DOES NOT curve at all.)</w:t>
      </w:r>
    </w:p>
    <w:tbl>
      <w:tblPr>
        <w:tblStyle w:val="TableGrid"/>
        <w:tblW w:w="5000" w:type="pct"/>
        <w:tblBorders>
          <w:top w:val="double" w:sz="4" w:space="0" w:color="auto"/>
          <w:left w:val="double" w:sz="4" w:space="0" w:color="auto"/>
          <w:bottom w:val="double" w:sz="4" w:space="0" w:color="auto"/>
          <w:right w:val="double" w:sz="4" w:space="0" w:color="auto"/>
          <w:insideH w:val="single" w:sz="4" w:space="0" w:color="000000" w:themeColor="text1"/>
          <w:insideV w:val="single" w:sz="4" w:space="0" w:color="000000" w:themeColor="text1"/>
        </w:tblBorders>
        <w:tblLook w:val="04A0" w:firstRow="1" w:lastRow="0" w:firstColumn="1" w:lastColumn="0" w:noHBand="0" w:noVBand="1"/>
      </w:tblPr>
      <w:tblGrid>
        <w:gridCol w:w="5077"/>
        <w:gridCol w:w="1819"/>
        <w:gridCol w:w="1565"/>
        <w:gridCol w:w="1115"/>
      </w:tblGrid>
      <w:tr w:rsidR="007F28DC" w:rsidTr="00D62FF2">
        <w:tc>
          <w:tcPr>
            <w:tcW w:w="2651" w:type="pct"/>
            <w:tcBorders>
              <w:top w:val="double" w:sz="4" w:space="0" w:color="auto"/>
              <w:bottom w:val="double" w:sz="4" w:space="0" w:color="auto"/>
            </w:tcBorders>
            <w:hideMark/>
          </w:tcPr>
          <w:p w:rsidR="007F28DC" w:rsidRPr="00D62FF2" w:rsidRDefault="007F28DC" w:rsidP="00D62FF2">
            <w:pPr>
              <w:pStyle w:val="NoSpacing"/>
              <w:rPr>
                <w:b/>
                <w:bCs/>
              </w:rPr>
            </w:pPr>
            <w:r w:rsidRPr="00D62FF2">
              <w:rPr>
                <w:b/>
                <w:bCs/>
              </w:rPr>
              <w:t xml:space="preserve">Description </w:t>
            </w:r>
          </w:p>
        </w:tc>
        <w:tc>
          <w:tcPr>
            <w:tcW w:w="950" w:type="pct"/>
            <w:tcBorders>
              <w:top w:val="double" w:sz="4" w:space="0" w:color="auto"/>
              <w:bottom w:val="double" w:sz="4" w:space="0" w:color="auto"/>
              <w:right w:val="double" w:sz="4" w:space="0" w:color="auto"/>
            </w:tcBorders>
            <w:hideMark/>
          </w:tcPr>
          <w:p w:rsidR="007F28DC" w:rsidRPr="00D62FF2" w:rsidRDefault="007F28DC" w:rsidP="00D62FF2">
            <w:pPr>
              <w:pStyle w:val="NoSpacing"/>
              <w:rPr>
                <w:b/>
                <w:bCs/>
              </w:rPr>
            </w:pPr>
            <w:r w:rsidRPr="00D62FF2">
              <w:rPr>
                <w:b/>
                <w:bCs/>
              </w:rPr>
              <w:t xml:space="preserve">Percentage </w:t>
            </w:r>
          </w:p>
        </w:tc>
        <w:tc>
          <w:tcPr>
            <w:tcW w:w="817" w:type="pct"/>
            <w:tcBorders>
              <w:top w:val="double" w:sz="4" w:space="0" w:color="auto"/>
              <w:left w:val="double" w:sz="4" w:space="0" w:color="auto"/>
              <w:bottom w:val="double" w:sz="4" w:space="0" w:color="auto"/>
            </w:tcBorders>
            <w:hideMark/>
          </w:tcPr>
          <w:p w:rsidR="007F28DC" w:rsidRPr="00D62FF2" w:rsidRDefault="007F28DC" w:rsidP="00D62FF2">
            <w:pPr>
              <w:pStyle w:val="NoSpacing"/>
              <w:rPr>
                <w:b/>
                <w:bCs/>
              </w:rPr>
            </w:pPr>
            <w:r w:rsidRPr="00D62FF2">
              <w:rPr>
                <w:b/>
                <w:bCs/>
              </w:rPr>
              <w:t xml:space="preserve">Scale </w:t>
            </w:r>
          </w:p>
        </w:tc>
        <w:tc>
          <w:tcPr>
            <w:tcW w:w="582" w:type="pct"/>
            <w:tcBorders>
              <w:top w:val="double" w:sz="4" w:space="0" w:color="auto"/>
              <w:bottom w:val="double" w:sz="4" w:space="0" w:color="auto"/>
            </w:tcBorders>
            <w:hideMark/>
          </w:tcPr>
          <w:p w:rsidR="007F28DC" w:rsidRPr="00D62FF2" w:rsidRDefault="007F28DC" w:rsidP="00D62FF2">
            <w:pPr>
              <w:pStyle w:val="NoSpacing"/>
              <w:rPr>
                <w:b/>
                <w:bCs/>
              </w:rPr>
            </w:pPr>
            <w:r w:rsidRPr="00D62FF2">
              <w:rPr>
                <w:b/>
                <w:bCs/>
              </w:rPr>
              <w:t xml:space="preserve">Grade </w:t>
            </w:r>
          </w:p>
        </w:tc>
      </w:tr>
      <w:tr w:rsidR="007F28DC" w:rsidTr="00D62FF2">
        <w:tc>
          <w:tcPr>
            <w:tcW w:w="2651" w:type="pct"/>
            <w:tcBorders>
              <w:top w:val="double" w:sz="4" w:space="0" w:color="auto"/>
            </w:tcBorders>
            <w:hideMark/>
          </w:tcPr>
          <w:p w:rsidR="007F28DC" w:rsidRPr="00D62FF2" w:rsidRDefault="007F28DC" w:rsidP="00D62FF2">
            <w:pPr>
              <w:pStyle w:val="NoSpacing"/>
              <w:rPr>
                <w:color w:val="000000"/>
              </w:rPr>
            </w:pPr>
            <w:r w:rsidRPr="00D62FF2">
              <w:rPr>
                <w:color w:val="000000"/>
              </w:rPr>
              <w:t>Quizzes, In-Class Assignments</w:t>
            </w:r>
            <w:r w:rsidRPr="00D62FF2">
              <w:rPr>
                <w:color w:val="000000"/>
                <w:rtl/>
              </w:rPr>
              <w:t xml:space="preserve"> </w:t>
            </w:r>
            <w:r w:rsidRPr="00D62FF2">
              <w:rPr>
                <w:color w:val="000000"/>
              </w:rPr>
              <w:t xml:space="preserve"> </w:t>
            </w:r>
          </w:p>
        </w:tc>
        <w:tc>
          <w:tcPr>
            <w:tcW w:w="950" w:type="pct"/>
            <w:tcBorders>
              <w:top w:val="double" w:sz="4" w:space="0" w:color="auto"/>
              <w:right w:val="double" w:sz="4" w:space="0" w:color="auto"/>
            </w:tcBorders>
            <w:hideMark/>
          </w:tcPr>
          <w:p w:rsidR="007F28DC" w:rsidRPr="00D62FF2" w:rsidRDefault="007F28DC" w:rsidP="00D62FF2">
            <w:pPr>
              <w:pStyle w:val="NoSpacing"/>
              <w:rPr>
                <w:color w:val="000000"/>
              </w:rPr>
            </w:pPr>
            <w:r w:rsidRPr="00D62FF2">
              <w:rPr>
                <w:color w:val="000000"/>
              </w:rPr>
              <w:t>5</w:t>
            </w:r>
          </w:p>
        </w:tc>
        <w:tc>
          <w:tcPr>
            <w:tcW w:w="817" w:type="pct"/>
            <w:tcBorders>
              <w:top w:val="double" w:sz="4" w:space="0" w:color="auto"/>
              <w:left w:val="double" w:sz="4" w:space="0" w:color="auto"/>
            </w:tcBorders>
            <w:hideMark/>
          </w:tcPr>
          <w:p w:rsidR="007F28DC" w:rsidRPr="00D62FF2" w:rsidRDefault="007F28DC" w:rsidP="00D62FF2">
            <w:pPr>
              <w:pStyle w:val="NoSpacing"/>
              <w:rPr>
                <w:color w:val="000000"/>
              </w:rPr>
            </w:pPr>
            <w:r w:rsidRPr="00D62FF2">
              <w:rPr>
                <w:color w:val="000000"/>
              </w:rPr>
              <w:t>95 - 100</w:t>
            </w:r>
          </w:p>
        </w:tc>
        <w:tc>
          <w:tcPr>
            <w:tcW w:w="582" w:type="pct"/>
            <w:tcBorders>
              <w:top w:val="double" w:sz="4" w:space="0" w:color="auto"/>
            </w:tcBorders>
            <w:hideMark/>
          </w:tcPr>
          <w:p w:rsidR="007F28DC" w:rsidRPr="00D62FF2" w:rsidRDefault="007F28DC" w:rsidP="00D62FF2">
            <w:pPr>
              <w:pStyle w:val="NoSpacing"/>
              <w:rPr>
                <w:color w:val="000000"/>
              </w:rPr>
            </w:pPr>
            <w:r w:rsidRPr="00D62FF2">
              <w:rPr>
                <w:color w:val="000000"/>
              </w:rPr>
              <w:t>A+</w:t>
            </w:r>
          </w:p>
        </w:tc>
      </w:tr>
      <w:tr w:rsidR="007F28DC" w:rsidTr="00D62FF2">
        <w:tc>
          <w:tcPr>
            <w:tcW w:w="2651" w:type="pct"/>
            <w:hideMark/>
          </w:tcPr>
          <w:p w:rsidR="007F28DC" w:rsidRPr="00D62FF2" w:rsidRDefault="007F28DC" w:rsidP="00D62FF2">
            <w:pPr>
              <w:pStyle w:val="NoSpacing"/>
              <w:rPr>
                <w:color w:val="000000"/>
              </w:rPr>
            </w:pPr>
            <w:r w:rsidRPr="00D62FF2">
              <w:rPr>
                <w:color w:val="000000"/>
              </w:rPr>
              <w:t xml:space="preserve">Lab </w:t>
            </w:r>
          </w:p>
        </w:tc>
        <w:tc>
          <w:tcPr>
            <w:tcW w:w="950" w:type="pct"/>
            <w:tcBorders>
              <w:right w:val="double" w:sz="4" w:space="0" w:color="auto"/>
            </w:tcBorders>
            <w:hideMark/>
          </w:tcPr>
          <w:p w:rsidR="007F28DC" w:rsidRPr="00D62FF2" w:rsidRDefault="007F28DC" w:rsidP="00D62FF2">
            <w:pPr>
              <w:pStyle w:val="NoSpacing"/>
              <w:rPr>
                <w:color w:val="000000"/>
              </w:rPr>
            </w:pPr>
            <w:r w:rsidRPr="00D62FF2">
              <w:rPr>
                <w:color w:val="000000"/>
              </w:rPr>
              <w:t>15</w:t>
            </w:r>
          </w:p>
        </w:tc>
        <w:tc>
          <w:tcPr>
            <w:tcW w:w="817" w:type="pct"/>
            <w:tcBorders>
              <w:left w:val="double" w:sz="4" w:space="0" w:color="auto"/>
            </w:tcBorders>
            <w:hideMark/>
          </w:tcPr>
          <w:p w:rsidR="007F28DC" w:rsidRPr="00D62FF2" w:rsidRDefault="007F28DC" w:rsidP="00D62FF2">
            <w:pPr>
              <w:pStyle w:val="NoSpacing"/>
              <w:rPr>
                <w:color w:val="000000"/>
              </w:rPr>
            </w:pPr>
            <w:r w:rsidRPr="00D62FF2">
              <w:rPr>
                <w:color w:val="000000"/>
              </w:rPr>
              <w:t>90-94</w:t>
            </w:r>
          </w:p>
        </w:tc>
        <w:tc>
          <w:tcPr>
            <w:tcW w:w="582" w:type="pct"/>
            <w:hideMark/>
          </w:tcPr>
          <w:p w:rsidR="007F28DC" w:rsidRPr="00D62FF2" w:rsidRDefault="007F28DC" w:rsidP="00D62FF2">
            <w:pPr>
              <w:pStyle w:val="NoSpacing"/>
              <w:rPr>
                <w:color w:val="000000"/>
              </w:rPr>
            </w:pPr>
            <w:r w:rsidRPr="00D62FF2">
              <w:rPr>
                <w:color w:val="000000"/>
              </w:rPr>
              <w:t>A</w:t>
            </w:r>
          </w:p>
        </w:tc>
      </w:tr>
      <w:tr w:rsidR="007F28DC" w:rsidTr="00D62FF2">
        <w:tc>
          <w:tcPr>
            <w:tcW w:w="2651" w:type="pct"/>
            <w:hideMark/>
          </w:tcPr>
          <w:p w:rsidR="007F28DC" w:rsidRPr="00D62FF2" w:rsidRDefault="007F28DC" w:rsidP="00D62FF2">
            <w:pPr>
              <w:pStyle w:val="NoSpacing"/>
              <w:rPr>
                <w:color w:val="000000"/>
              </w:rPr>
            </w:pPr>
            <w:r w:rsidRPr="00D62FF2">
              <w:rPr>
                <w:color w:val="000000"/>
              </w:rPr>
              <w:t>Two Tests (20% each)</w:t>
            </w:r>
          </w:p>
        </w:tc>
        <w:tc>
          <w:tcPr>
            <w:tcW w:w="950" w:type="pct"/>
            <w:tcBorders>
              <w:right w:val="double" w:sz="4" w:space="0" w:color="auto"/>
            </w:tcBorders>
            <w:hideMark/>
          </w:tcPr>
          <w:p w:rsidR="007F28DC" w:rsidRPr="00D62FF2" w:rsidRDefault="007F28DC" w:rsidP="00D62FF2">
            <w:pPr>
              <w:pStyle w:val="NoSpacing"/>
              <w:rPr>
                <w:color w:val="000000"/>
              </w:rPr>
            </w:pPr>
            <w:r w:rsidRPr="00D62FF2">
              <w:rPr>
                <w:color w:val="000000"/>
              </w:rPr>
              <w:t>40</w:t>
            </w:r>
          </w:p>
        </w:tc>
        <w:tc>
          <w:tcPr>
            <w:tcW w:w="817" w:type="pct"/>
            <w:tcBorders>
              <w:left w:val="double" w:sz="4" w:space="0" w:color="auto"/>
            </w:tcBorders>
            <w:hideMark/>
          </w:tcPr>
          <w:p w:rsidR="007F28DC" w:rsidRPr="00D62FF2" w:rsidRDefault="007F28DC" w:rsidP="00D62FF2">
            <w:pPr>
              <w:pStyle w:val="NoSpacing"/>
              <w:rPr>
                <w:color w:val="000000"/>
              </w:rPr>
            </w:pPr>
            <w:r w:rsidRPr="00D62FF2">
              <w:rPr>
                <w:color w:val="000000"/>
              </w:rPr>
              <w:t>85-89</w:t>
            </w:r>
          </w:p>
        </w:tc>
        <w:tc>
          <w:tcPr>
            <w:tcW w:w="582" w:type="pct"/>
            <w:hideMark/>
          </w:tcPr>
          <w:p w:rsidR="007F28DC" w:rsidRPr="00D62FF2" w:rsidRDefault="007F28DC" w:rsidP="00D62FF2">
            <w:pPr>
              <w:pStyle w:val="NoSpacing"/>
              <w:rPr>
                <w:color w:val="000000"/>
              </w:rPr>
            </w:pPr>
            <w:r w:rsidRPr="00D62FF2">
              <w:rPr>
                <w:color w:val="000000"/>
              </w:rPr>
              <w:t>B+</w:t>
            </w:r>
          </w:p>
        </w:tc>
      </w:tr>
      <w:tr w:rsidR="007F28DC" w:rsidTr="00D62FF2">
        <w:tc>
          <w:tcPr>
            <w:tcW w:w="2651" w:type="pct"/>
            <w:hideMark/>
          </w:tcPr>
          <w:p w:rsidR="007F28DC" w:rsidRPr="00D62FF2" w:rsidRDefault="007F28DC" w:rsidP="00D62FF2">
            <w:pPr>
              <w:pStyle w:val="NoSpacing"/>
              <w:rPr>
                <w:color w:val="000000"/>
              </w:rPr>
            </w:pPr>
            <w:r w:rsidRPr="00D62FF2">
              <w:rPr>
                <w:color w:val="000000"/>
              </w:rPr>
              <w:t>Final (Comprehensive) Exam</w:t>
            </w:r>
          </w:p>
        </w:tc>
        <w:tc>
          <w:tcPr>
            <w:tcW w:w="950" w:type="pct"/>
            <w:tcBorders>
              <w:right w:val="double" w:sz="4" w:space="0" w:color="auto"/>
            </w:tcBorders>
            <w:hideMark/>
          </w:tcPr>
          <w:p w:rsidR="007F28DC" w:rsidRPr="00D62FF2" w:rsidRDefault="007F28DC" w:rsidP="00D62FF2">
            <w:pPr>
              <w:pStyle w:val="NoSpacing"/>
              <w:rPr>
                <w:color w:val="000000"/>
              </w:rPr>
            </w:pPr>
            <w:r w:rsidRPr="00D62FF2">
              <w:rPr>
                <w:color w:val="000000"/>
              </w:rPr>
              <w:t>40</w:t>
            </w:r>
          </w:p>
        </w:tc>
        <w:tc>
          <w:tcPr>
            <w:tcW w:w="817" w:type="pct"/>
            <w:tcBorders>
              <w:left w:val="double" w:sz="4" w:space="0" w:color="auto"/>
            </w:tcBorders>
            <w:hideMark/>
          </w:tcPr>
          <w:p w:rsidR="007F28DC" w:rsidRPr="00D62FF2" w:rsidRDefault="007F28DC" w:rsidP="00D62FF2">
            <w:pPr>
              <w:pStyle w:val="NoSpacing"/>
              <w:rPr>
                <w:color w:val="000000"/>
              </w:rPr>
            </w:pPr>
            <w:r w:rsidRPr="00D62FF2">
              <w:rPr>
                <w:color w:val="000000"/>
              </w:rPr>
              <w:t>80-84</w:t>
            </w:r>
          </w:p>
        </w:tc>
        <w:tc>
          <w:tcPr>
            <w:tcW w:w="582" w:type="pct"/>
            <w:hideMark/>
          </w:tcPr>
          <w:p w:rsidR="007F28DC" w:rsidRPr="00D62FF2" w:rsidRDefault="007F28DC" w:rsidP="00D62FF2">
            <w:pPr>
              <w:pStyle w:val="NoSpacing"/>
              <w:rPr>
                <w:color w:val="000000"/>
              </w:rPr>
            </w:pPr>
            <w:r w:rsidRPr="00D62FF2">
              <w:rPr>
                <w:color w:val="000000"/>
              </w:rPr>
              <w:t>B</w:t>
            </w:r>
          </w:p>
        </w:tc>
      </w:tr>
      <w:tr w:rsidR="007F28DC" w:rsidTr="00D62FF2">
        <w:tc>
          <w:tcPr>
            <w:tcW w:w="2651" w:type="pct"/>
            <w:hideMark/>
          </w:tcPr>
          <w:p w:rsidR="007F28DC" w:rsidRPr="00D62FF2" w:rsidRDefault="007F28DC" w:rsidP="00D62FF2">
            <w:pPr>
              <w:pStyle w:val="NoSpacing"/>
              <w:rPr>
                <w:color w:val="000000"/>
                <w:sz w:val="28"/>
                <w:szCs w:val="28"/>
              </w:rPr>
            </w:pPr>
            <w:r w:rsidRPr="00D62FF2">
              <w:rPr>
                <w:color w:val="000000"/>
                <w:sz w:val="28"/>
                <w:szCs w:val="28"/>
              </w:rPr>
              <w:t xml:space="preserve">Total </w:t>
            </w:r>
          </w:p>
        </w:tc>
        <w:tc>
          <w:tcPr>
            <w:tcW w:w="950" w:type="pct"/>
            <w:tcBorders>
              <w:right w:val="double" w:sz="4" w:space="0" w:color="auto"/>
            </w:tcBorders>
            <w:hideMark/>
          </w:tcPr>
          <w:p w:rsidR="007F28DC" w:rsidRPr="00D62FF2" w:rsidRDefault="007F28DC" w:rsidP="00D62FF2">
            <w:pPr>
              <w:pStyle w:val="NoSpacing"/>
              <w:rPr>
                <w:color w:val="000000"/>
              </w:rPr>
            </w:pPr>
            <w:r w:rsidRPr="00D62FF2">
              <w:rPr>
                <w:color w:val="000000"/>
              </w:rPr>
              <w:t>100%</w:t>
            </w:r>
          </w:p>
        </w:tc>
        <w:tc>
          <w:tcPr>
            <w:tcW w:w="817" w:type="pct"/>
            <w:tcBorders>
              <w:left w:val="double" w:sz="4" w:space="0" w:color="auto"/>
            </w:tcBorders>
            <w:hideMark/>
          </w:tcPr>
          <w:p w:rsidR="007F28DC" w:rsidRPr="00D62FF2" w:rsidRDefault="007F28DC" w:rsidP="00D62FF2">
            <w:pPr>
              <w:pStyle w:val="NoSpacing"/>
              <w:rPr>
                <w:color w:val="000000"/>
              </w:rPr>
            </w:pPr>
            <w:r w:rsidRPr="00D62FF2">
              <w:rPr>
                <w:color w:val="000000"/>
              </w:rPr>
              <w:t>75-79</w:t>
            </w:r>
          </w:p>
        </w:tc>
        <w:tc>
          <w:tcPr>
            <w:tcW w:w="582" w:type="pct"/>
            <w:hideMark/>
          </w:tcPr>
          <w:p w:rsidR="007F28DC" w:rsidRPr="00D62FF2" w:rsidRDefault="007F28DC" w:rsidP="00D62FF2">
            <w:pPr>
              <w:pStyle w:val="NoSpacing"/>
              <w:rPr>
                <w:color w:val="000000"/>
              </w:rPr>
            </w:pPr>
            <w:r w:rsidRPr="00D62FF2">
              <w:rPr>
                <w:color w:val="000000"/>
              </w:rPr>
              <w:t>C+</w:t>
            </w:r>
          </w:p>
        </w:tc>
      </w:tr>
      <w:tr w:rsidR="007F28DC" w:rsidTr="00D62FF2">
        <w:tc>
          <w:tcPr>
            <w:tcW w:w="2651" w:type="pct"/>
            <w:hideMark/>
          </w:tcPr>
          <w:p w:rsidR="007F28DC" w:rsidRPr="00D62FF2" w:rsidRDefault="007F28DC" w:rsidP="00D62FF2">
            <w:pPr>
              <w:pStyle w:val="NoSpacing"/>
              <w:rPr>
                <w:color w:val="000000"/>
              </w:rPr>
            </w:pPr>
          </w:p>
        </w:tc>
        <w:tc>
          <w:tcPr>
            <w:tcW w:w="950" w:type="pct"/>
            <w:tcBorders>
              <w:right w:val="double" w:sz="4" w:space="0" w:color="auto"/>
            </w:tcBorders>
            <w:hideMark/>
          </w:tcPr>
          <w:p w:rsidR="007F28DC" w:rsidRPr="00D62FF2" w:rsidRDefault="007F28DC" w:rsidP="00D62FF2">
            <w:pPr>
              <w:pStyle w:val="NoSpacing"/>
              <w:rPr>
                <w:color w:val="000000"/>
              </w:rPr>
            </w:pPr>
          </w:p>
        </w:tc>
        <w:tc>
          <w:tcPr>
            <w:tcW w:w="817" w:type="pct"/>
            <w:tcBorders>
              <w:left w:val="double" w:sz="4" w:space="0" w:color="auto"/>
            </w:tcBorders>
            <w:hideMark/>
          </w:tcPr>
          <w:p w:rsidR="007F28DC" w:rsidRPr="00D62FF2" w:rsidRDefault="007F28DC" w:rsidP="00D62FF2">
            <w:pPr>
              <w:pStyle w:val="NoSpacing"/>
              <w:rPr>
                <w:color w:val="000000"/>
              </w:rPr>
            </w:pPr>
            <w:r w:rsidRPr="00D62FF2">
              <w:rPr>
                <w:color w:val="000000"/>
              </w:rPr>
              <w:t>70-74</w:t>
            </w:r>
          </w:p>
        </w:tc>
        <w:tc>
          <w:tcPr>
            <w:tcW w:w="582" w:type="pct"/>
            <w:hideMark/>
          </w:tcPr>
          <w:p w:rsidR="007F28DC" w:rsidRPr="00D62FF2" w:rsidRDefault="007F28DC" w:rsidP="00D62FF2">
            <w:pPr>
              <w:pStyle w:val="NoSpacing"/>
              <w:rPr>
                <w:color w:val="000000"/>
              </w:rPr>
            </w:pPr>
            <w:r w:rsidRPr="00D62FF2">
              <w:rPr>
                <w:color w:val="000000"/>
              </w:rPr>
              <w:t>C</w:t>
            </w:r>
          </w:p>
        </w:tc>
      </w:tr>
      <w:tr w:rsidR="007F28DC" w:rsidTr="00D62FF2">
        <w:tc>
          <w:tcPr>
            <w:tcW w:w="2651" w:type="pct"/>
            <w:hideMark/>
          </w:tcPr>
          <w:p w:rsidR="007F28DC" w:rsidRPr="00D62FF2" w:rsidRDefault="007F28DC" w:rsidP="00D62FF2">
            <w:pPr>
              <w:pStyle w:val="NoSpacing"/>
              <w:rPr>
                <w:color w:val="000000"/>
              </w:rPr>
            </w:pPr>
          </w:p>
        </w:tc>
        <w:tc>
          <w:tcPr>
            <w:tcW w:w="950" w:type="pct"/>
            <w:tcBorders>
              <w:right w:val="double" w:sz="4" w:space="0" w:color="auto"/>
            </w:tcBorders>
            <w:hideMark/>
          </w:tcPr>
          <w:p w:rsidR="007F28DC" w:rsidRPr="00D62FF2" w:rsidRDefault="007F28DC" w:rsidP="00D62FF2">
            <w:pPr>
              <w:pStyle w:val="NoSpacing"/>
              <w:rPr>
                <w:color w:val="000000"/>
              </w:rPr>
            </w:pPr>
          </w:p>
        </w:tc>
        <w:tc>
          <w:tcPr>
            <w:tcW w:w="817" w:type="pct"/>
            <w:tcBorders>
              <w:left w:val="double" w:sz="4" w:space="0" w:color="auto"/>
            </w:tcBorders>
            <w:hideMark/>
          </w:tcPr>
          <w:p w:rsidR="007F28DC" w:rsidRPr="00D62FF2" w:rsidRDefault="007F28DC" w:rsidP="00D62FF2">
            <w:pPr>
              <w:pStyle w:val="NoSpacing"/>
              <w:rPr>
                <w:color w:val="000000"/>
              </w:rPr>
            </w:pPr>
            <w:r w:rsidRPr="00D62FF2">
              <w:rPr>
                <w:color w:val="000000"/>
              </w:rPr>
              <w:t>65-69</w:t>
            </w:r>
          </w:p>
        </w:tc>
        <w:tc>
          <w:tcPr>
            <w:tcW w:w="582" w:type="pct"/>
            <w:hideMark/>
          </w:tcPr>
          <w:p w:rsidR="007F28DC" w:rsidRPr="00D62FF2" w:rsidRDefault="007F28DC" w:rsidP="00D62FF2">
            <w:pPr>
              <w:pStyle w:val="NoSpacing"/>
              <w:rPr>
                <w:color w:val="000000"/>
              </w:rPr>
            </w:pPr>
            <w:r w:rsidRPr="00D62FF2">
              <w:rPr>
                <w:color w:val="000000"/>
              </w:rPr>
              <w:t>D+</w:t>
            </w:r>
          </w:p>
        </w:tc>
      </w:tr>
      <w:tr w:rsidR="007F28DC" w:rsidTr="00D62FF2">
        <w:trPr>
          <w:trHeight w:val="273"/>
        </w:trPr>
        <w:tc>
          <w:tcPr>
            <w:tcW w:w="2651" w:type="pct"/>
            <w:hideMark/>
          </w:tcPr>
          <w:p w:rsidR="007F28DC" w:rsidRPr="00D62FF2" w:rsidRDefault="007F28DC" w:rsidP="00D62FF2">
            <w:pPr>
              <w:pStyle w:val="NoSpacing"/>
              <w:rPr>
                <w:color w:val="000000"/>
              </w:rPr>
            </w:pPr>
          </w:p>
        </w:tc>
        <w:tc>
          <w:tcPr>
            <w:tcW w:w="950" w:type="pct"/>
            <w:tcBorders>
              <w:right w:val="double" w:sz="4" w:space="0" w:color="auto"/>
            </w:tcBorders>
            <w:hideMark/>
          </w:tcPr>
          <w:p w:rsidR="007F28DC" w:rsidRPr="00D62FF2" w:rsidRDefault="007F28DC" w:rsidP="00D62FF2">
            <w:pPr>
              <w:pStyle w:val="NoSpacing"/>
              <w:rPr>
                <w:color w:val="000000"/>
              </w:rPr>
            </w:pPr>
          </w:p>
        </w:tc>
        <w:tc>
          <w:tcPr>
            <w:tcW w:w="817" w:type="pct"/>
            <w:tcBorders>
              <w:left w:val="double" w:sz="4" w:space="0" w:color="auto"/>
            </w:tcBorders>
            <w:hideMark/>
          </w:tcPr>
          <w:p w:rsidR="007F28DC" w:rsidRPr="00D62FF2" w:rsidRDefault="007F28DC" w:rsidP="00D62FF2">
            <w:pPr>
              <w:pStyle w:val="NoSpacing"/>
              <w:rPr>
                <w:color w:val="000000"/>
              </w:rPr>
            </w:pPr>
            <w:r w:rsidRPr="00D62FF2">
              <w:rPr>
                <w:color w:val="000000"/>
              </w:rPr>
              <w:t>60-64</w:t>
            </w:r>
          </w:p>
        </w:tc>
        <w:tc>
          <w:tcPr>
            <w:tcW w:w="582" w:type="pct"/>
            <w:hideMark/>
          </w:tcPr>
          <w:p w:rsidR="007F28DC" w:rsidRPr="00D62FF2" w:rsidRDefault="007F28DC" w:rsidP="00D62FF2">
            <w:pPr>
              <w:pStyle w:val="NoSpacing"/>
              <w:rPr>
                <w:color w:val="000000"/>
              </w:rPr>
            </w:pPr>
            <w:r w:rsidRPr="00D62FF2">
              <w:rPr>
                <w:color w:val="000000"/>
              </w:rPr>
              <w:t>D</w:t>
            </w:r>
          </w:p>
        </w:tc>
      </w:tr>
      <w:tr w:rsidR="007F28DC" w:rsidTr="00D62FF2">
        <w:trPr>
          <w:trHeight w:val="273"/>
        </w:trPr>
        <w:tc>
          <w:tcPr>
            <w:tcW w:w="2651" w:type="pct"/>
            <w:hideMark/>
          </w:tcPr>
          <w:p w:rsidR="007F28DC" w:rsidRPr="00D62FF2" w:rsidRDefault="007F28DC" w:rsidP="00D62FF2">
            <w:pPr>
              <w:pStyle w:val="NoSpacing"/>
              <w:rPr>
                <w:color w:val="000000"/>
              </w:rPr>
            </w:pPr>
            <w:r w:rsidRPr="00D62FF2">
              <w:rPr>
                <w:color w:val="000000"/>
              </w:rPr>
              <w:t> </w:t>
            </w:r>
          </w:p>
        </w:tc>
        <w:tc>
          <w:tcPr>
            <w:tcW w:w="950" w:type="pct"/>
            <w:tcBorders>
              <w:right w:val="double" w:sz="4" w:space="0" w:color="auto"/>
            </w:tcBorders>
            <w:hideMark/>
          </w:tcPr>
          <w:p w:rsidR="007F28DC" w:rsidRPr="00D62FF2" w:rsidRDefault="007F28DC" w:rsidP="00D62FF2">
            <w:pPr>
              <w:pStyle w:val="NoSpacing"/>
              <w:rPr>
                <w:color w:val="000000"/>
              </w:rPr>
            </w:pPr>
            <w:r w:rsidRPr="00D62FF2">
              <w:rPr>
                <w:color w:val="000000"/>
              </w:rPr>
              <w:t> </w:t>
            </w:r>
          </w:p>
        </w:tc>
        <w:tc>
          <w:tcPr>
            <w:tcW w:w="817" w:type="pct"/>
            <w:tcBorders>
              <w:left w:val="double" w:sz="4" w:space="0" w:color="auto"/>
              <w:bottom w:val="double" w:sz="4" w:space="0" w:color="auto"/>
            </w:tcBorders>
            <w:hideMark/>
          </w:tcPr>
          <w:p w:rsidR="007F28DC" w:rsidRPr="00D62FF2" w:rsidRDefault="007F28DC" w:rsidP="00D62FF2">
            <w:pPr>
              <w:pStyle w:val="NoSpacing"/>
              <w:rPr>
                <w:color w:val="000000"/>
              </w:rPr>
            </w:pPr>
            <w:r w:rsidRPr="00D62FF2">
              <w:rPr>
                <w:color w:val="000000"/>
              </w:rPr>
              <w:t>&lt; 59</w:t>
            </w:r>
          </w:p>
        </w:tc>
        <w:tc>
          <w:tcPr>
            <w:tcW w:w="582" w:type="pct"/>
            <w:tcBorders>
              <w:bottom w:val="double" w:sz="4" w:space="0" w:color="auto"/>
            </w:tcBorders>
            <w:hideMark/>
          </w:tcPr>
          <w:p w:rsidR="007F28DC" w:rsidRPr="00D62FF2" w:rsidRDefault="007F28DC" w:rsidP="00D62FF2">
            <w:pPr>
              <w:pStyle w:val="NoSpacing"/>
              <w:rPr>
                <w:color w:val="000000"/>
              </w:rPr>
            </w:pPr>
            <w:r w:rsidRPr="00D62FF2">
              <w:rPr>
                <w:color w:val="000000"/>
              </w:rPr>
              <w:t>F</w:t>
            </w:r>
          </w:p>
        </w:tc>
      </w:tr>
    </w:tbl>
    <w:p w:rsidR="007F28DC" w:rsidRDefault="007F28DC" w:rsidP="00561B02">
      <w:pPr>
        <w:jc w:val="center"/>
      </w:pPr>
      <w:r>
        <w:rPr>
          <w:color w:val="000000"/>
        </w:rPr>
        <w:t> </w:t>
      </w:r>
    </w:p>
    <w:p w:rsidR="007F28DC" w:rsidRDefault="007F28DC" w:rsidP="00561B02">
      <w:pPr>
        <w:numPr>
          <w:ilvl w:val="0"/>
          <w:numId w:val="4"/>
        </w:numPr>
        <w:tabs>
          <w:tab w:val="clear" w:pos="720"/>
          <w:tab w:val="num" w:pos="810"/>
        </w:tabs>
        <w:ind w:left="270" w:hanging="270"/>
        <w:jc w:val="both"/>
        <w:rPr>
          <w:color w:val="000000"/>
        </w:rPr>
      </w:pPr>
      <w:r>
        <w:rPr>
          <w:b/>
          <w:bCs/>
          <w:color w:val="000000"/>
        </w:rPr>
        <w:t>QUIZZES AND IN-CLASS ASSIGNMENTS</w:t>
      </w:r>
      <w:r>
        <w:rPr>
          <w:color w:val="000000"/>
        </w:rPr>
        <w:t xml:space="preserve">:  There will be quizzes and in-class assignments administered throughout the semester.  Students who are absent on the day that we have an in-class assignment would have to take a zero for that in-class assignment grade. </w:t>
      </w:r>
    </w:p>
    <w:p w:rsidR="007F28DC" w:rsidRDefault="007F28DC" w:rsidP="00561B02">
      <w:pPr>
        <w:numPr>
          <w:ilvl w:val="0"/>
          <w:numId w:val="4"/>
        </w:numPr>
        <w:tabs>
          <w:tab w:val="clear" w:pos="720"/>
          <w:tab w:val="num" w:pos="810"/>
        </w:tabs>
        <w:spacing w:before="240"/>
        <w:ind w:left="270" w:hanging="270"/>
        <w:jc w:val="both"/>
        <w:rPr>
          <w:color w:val="000000"/>
        </w:rPr>
      </w:pPr>
      <w:r>
        <w:rPr>
          <w:b/>
          <w:bCs/>
          <w:color w:val="000000"/>
        </w:rPr>
        <w:t>TESTS</w:t>
      </w:r>
      <w:r>
        <w:rPr>
          <w:color w:val="000000"/>
        </w:rPr>
        <w:t xml:space="preserve">:  Two tests, which focus primarily on materials covered in class and from the textbook, will be administered during the semester.  Students are strongly encouraged to visit the </w:t>
      </w:r>
      <w:r>
        <w:t>Companion Website</w:t>
      </w:r>
      <w:r>
        <w:rPr>
          <w:color w:val="000000"/>
        </w:rPr>
        <w:t xml:space="preserve"> for additional coverage of the materials presented in the textbook.  In order to perform well on the tests, students must be familiar with the definitions listed in the </w:t>
      </w:r>
      <w:r w:rsidRPr="00264573">
        <w:rPr>
          <w:i/>
          <w:iCs/>
          <w:color w:val="000000"/>
          <w:u w:val="single"/>
        </w:rPr>
        <w:t>Key Terms</w:t>
      </w:r>
      <w:r>
        <w:rPr>
          <w:color w:val="000000"/>
        </w:rPr>
        <w:t xml:space="preserve"> section, and do all the questions listed in the </w:t>
      </w:r>
      <w:r w:rsidRPr="00264573">
        <w:rPr>
          <w:i/>
          <w:iCs/>
          <w:color w:val="000000"/>
          <w:u w:val="single"/>
        </w:rPr>
        <w:t>Review Questions</w:t>
      </w:r>
      <w:r>
        <w:rPr>
          <w:color w:val="000000"/>
        </w:rPr>
        <w:t xml:space="preserve"> section.  Students who cannot take the scheduled tests must discuss with the instructor in advance.  Makeup tests and exam will not be given</w:t>
      </w:r>
      <w:bookmarkStart w:id="0" w:name="_GoBack"/>
      <w:bookmarkEnd w:id="0"/>
      <w:r>
        <w:rPr>
          <w:color w:val="000000"/>
        </w:rPr>
        <w:t xml:space="preserve"> except with prior notification and under extenuating and unavoidable circumstances.  The burden of proof of said circumstances is on the student.  Makeup examinations will usually differ from the original exam, and may be essay or oral. </w:t>
      </w:r>
    </w:p>
    <w:p w:rsidR="007F28DC" w:rsidRDefault="007F28DC" w:rsidP="00561B02">
      <w:pPr>
        <w:numPr>
          <w:ilvl w:val="0"/>
          <w:numId w:val="4"/>
        </w:numPr>
        <w:tabs>
          <w:tab w:val="clear" w:pos="720"/>
          <w:tab w:val="num" w:pos="810"/>
        </w:tabs>
        <w:spacing w:before="240"/>
        <w:ind w:left="270" w:hanging="270"/>
        <w:jc w:val="both"/>
        <w:rPr>
          <w:color w:val="000000"/>
        </w:rPr>
      </w:pPr>
      <w:bookmarkStart w:id="1" w:name="EXAM"/>
      <w:r>
        <w:rPr>
          <w:b/>
          <w:bCs/>
          <w:color w:val="000000"/>
        </w:rPr>
        <w:t>FINAL EXAM</w:t>
      </w:r>
      <w:bookmarkEnd w:id="1"/>
      <w:r>
        <w:rPr>
          <w:color w:val="000000"/>
        </w:rPr>
        <w:t xml:space="preserve">:  A comprehensive exam will be given during the KSU University exam schedule.  The format of the final exam is relatively similar to the format for the tests.  </w:t>
      </w:r>
    </w:p>
    <w:p w:rsidR="007F28DC" w:rsidRDefault="007F28DC" w:rsidP="00561B02">
      <w:pPr>
        <w:numPr>
          <w:ilvl w:val="0"/>
          <w:numId w:val="4"/>
        </w:numPr>
        <w:tabs>
          <w:tab w:val="clear" w:pos="720"/>
          <w:tab w:val="num" w:pos="810"/>
        </w:tabs>
        <w:spacing w:before="240"/>
        <w:ind w:left="270" w:hanging="270"/>
        <w:jc w:val="both"/>
        <w:rPr>
          <w:color w:val="000000"/>
        </w:rPr>
      </w:pPr>
      <w:bookmarkStart w:id="2" w:name="Attendance"/>
      <w:r>
        <w:rPr>
          <w:b/>
          <w:bCs/>
          <w:color w:val="000000"/>
        </w:rPr>
        <w:t>ATTENDANCE</w:t>
      </w:r>
      <w:bookmarkEnd w:id="2"/>
      <w:r>
        <w:rPr>
          <w:color w:val="000000"/>
        </w:rPr>
        <w:t xml:space="preserve">:  The attendance policy follows the guidelines stated in the KSU Catalog </w:t>
      </w:r>
      <w:r w:rsidR="00D62FF2">
        <w:rPr>
          <w:color w:val="000000"/>
        </w:rPr>
        <w:t>(</w:t>
      </w:r>
      <w:hyperlink r:id="rId8" w:tgtFrame="_blank" w:history="1">
        <w:r>
          <w:rPr>
            <w:rStyle w:val="Hyperlink"/>
            <w:color w:val="0000EE"/>
          </w:rPr>
          <w:t>http://www.KSU.edu.sa/</w:t>
        </w:r>
      </w:hyperlink>
      <w:r>
        <w:rPr>
          <w:color w:val="000000"/>
        </w:rPr>
        <w:t xml:space="preserve">).  Students must assume full responsibility for any loss incurred because of absence, whether excused or unexcused.  All work missed because of absences will receive a grade of zero.  Excused absences are those resulting from the student’s participation </w:t>
      </w:r>
      <w:r>
        <w:rPr>
          <w:color w:val="000000"/>
        </w:rPr>
        <w:lastRenderedPageBreak/>
        <w:t>in a University-sponsored activity, from recognizable emergencies, or from serious illness.  Students are encouraged to participate actively in class discussion and presentation.</w:t>
      </w:r>
    </w:p>
    <w:p w:rsidR="007F28DC" w:rsidRDefault="007F28DC" w:rsidP="00561B02">
      <w:pPr>
        <w:numPr>
          <w:ilvl w:val="0"/>
          <w:numId w:val="5"/>
        </w:numPr>
        <w:tabs>
          <w:tab w:val="clear" w:pos="720"/>
          <w:tab w:val="num" w:pos="810"/>
        </w:tabs>
        <w:spacing w:before="240"/>
        <w:ind w:left="270" w:hanging="270"/>
        <w:jc w:val="both"/>
        <w:rPr>
          <w:color w:val="000000"/>
        </w:rPr>
      </w:pPr>
      <w:r>
        <w:rPr>
          <w:b/>
          <w:bCs/>
          <w:color w:val="000000"/>
        </w:rPr>
        <w:t>KSU HONOR CODE</w:t>
      </w:r>
      <w:r>
        <w:rPr>
          <w:color w:val="000000"/>
        </w:rPr>
        <w:t xml:space="preserve">:  All students must obey the KSU </w:t>
      </w:r>
      <w:r>
        <w:rPr>
          <w:rStyle w:val="yshortcuts"/>
          <w:color w:val="000000"/>
        </w:rPr>
        <w:t>Honor Code</w:t>
      </w:r>
      <w:r>
        <w:rPr>
          <w:color w:val="000000"/>
        </w:rPr>
        <w:t xml:space="preserve"> diligently.  The Honor Code is based on the need for trust in an academic community.  KSU’s Honor Code is a system developed by and maintained for the welfare of its students, and all students should make sure that they read and understand the provisions outlined in the Student Handbook (read </w:t>
      </w:r>
      <w:hyperlink r:id="rId9" w:tgtFrame="_blank" w:history="1">
        <w:r>
          <w:rPr>
            <w:rStyle w:val="Hyperlink"/>
            <w:color w:val="0000EE"/>
          </w:rPr>
          <w:t>http://www.ksu.edu.sa</w:t>
        </w:r>
      </w:hyperlink>
      <w:r>
        <w:rPr>
          <w:color w:val="000000"/>
        </w:rPr>
        <w:t xml:space="preserve">).  All work completed for this course will be considered pledged.  </w:t>
      </w:r>
      <w:r>
        <w:rPr>
          <w:b/>
          <w:bCs/>
          <w:color w:val="000000"/>
        </w:rPr>
        <w:t>CHEATING IS ABSOLUTELY NOT TOLERATED AT KSU UNIVERSITY</w:t>
      </w:r>
      <w:r>
        <w:rPr>
          <w:color w:val="000000"/>
        </w:rPr>
        <w:t>.</w:t>
      </w:r>
      <w:bookmarkStart w:id="3" w:name="LearningDisabilities"/>
      <w:r>
        <w:rPr>
          <w:color w:val="000000"/>
        </w:rPr>
        <w:t xml:space="preserve">  </w:t>
      </w:r>
      <w:bookmarkEnd w:id="3"/>
      <w:r>
        <w:rPr>
          <w:color w:val="000000"/>
        </w:rPr>
        <w:t xml:space="preserve">Plagiarism is a violation of the Honor code.  All papers submitted in this course are subject to evaluation using </w:t>
      </w:r>
      <w:r>
        <w:rPr>
          <w:rStyle w:val="yshortcuts"/>
          <w:color w:val="000000"/>
        </w:rPr>
        <w:t>plagiarism detection software</w:t>
      </w:r>
      <w:r>
        <w:rPr>
          <w:color w:val="000000"/>
        </w:rPr>
        <w:t>. </w:t>
      </w:r>
    </w:p>
    <w:p w:rsidR="007F28DC" w:rsidRDefault="007F28DC" w:rsidP="00561B02">
      <w:pPr>
        <w:numPr>
          <w:ilvl w:val="0"/>
          <w:numId w:val="6"/>
        </w:numPr>
        <w:tabs>
          <w:tab w:val="clear" w:pos="720"/>
          <w:tab w:val="num" w:pos="810"/>
        </w:tabs>
        <w:spacing w:before="240"/>
        <w:ind w:left="270" w:hanging="270"/>
        <w:jc w:val="both"/>
        <w:rPr>
          <w:color w:val="000000"/>
        </w:rPr>
      </w:pPr>
      <w:bookmarkStart w:id="4" w:name="DishnoestyPolicy"/>
      <w:r w:rsidRPr="005D7591">
        <w:rPr>
          <w:b/>
          <w:bCs/>
          <w:color w:val="000000"/>
        </w:rPr>
        <w:t>ACADEMIC DISHONESTY POLICY</w:t>
      </w:r>
      <w:bookmarkEnd w:id="4"/>
      <w:r w:rsidRPr="005D7591">
        <w:rPr>
          <w:b/>
          <w:bCs/>
          <w:color w:val="000000"/>
        </w:rPr>
        <w:t>:</w:t>
      </w:r>
      <w:r w:rsidRPr="005D7591">
        <w:rPr>
          <w:color w:val="000000"/>
        </w:rPr>
        <w:t>  Cheating in any form will not be tolerated in the College of</w:t>
      </w:r>
      <w:r>
        <w:rPr>
          <w:color w:val="000000"/>
        </w:rPr>
        <w:t xml:space="preserve"> Business.  If the instructor determines that a student has cheated on an assignment, the grade of “F” may be assigned for the entire course.  “Cheating” is the use of unauthorized resources and/or work of another including but not limited to homework, tests, papers, presentations and exams.  Unless specifically instructed otherwise, students are to assume that all coursework is to be the work of the individual student alone.  If a student is unsure as to whether collaboration is permitted, the professor should be contacted in advance of performing the work.  If a faculty member penalizes a student in a course for an </w:t>
      </w:r>
      <w:proofErr w:type="spellStart"/>
      <w:r>
        <w:rPr>
          <w:rStyle w:val="yshortcuts"/>
          <w:color w:val="000000"/>
        </w:rPr>
        <w:t>Honour</w:t>
      </w:r>
      <w:proofErr w:type="spellEnd"/>
      <w:r>
        <w:rPr>
          <w:rStyle w:val="yshortcuts"/>
          <w:color w:val="000000"/>
        </w:rPr>
        <w:t xml:space="preserve"> Code violation</w:t>
      </w:r>
      <w:r>
        <w:rPr>
          <w:color w:val="000000"/>
        </w:rPr>
        <w:t xml:space="preserve">, they should also bring </w:t>
      </w:r>
      <w:r>
        <w:rPr>
          <w:rStyle w:val="yshortcuts"/>
          <w:color w:val="000000"/>
        </w:rPr>
        <w:t>formal charges</w:t>
      </w:r>
      <w:r>
        <w:rPr>
          <w:color w:val="000000"/>
        </w:rPr>
        <w:t xml:space="preserve"> against the student with the University </w:t>
      </w:r>
      <w:proofErr w:type="spellStart"/>
      <w:r>
        <w:rPr>
          <w:color w:val="000000"/>
        </w:rPr>
        <w:t>Honour</w:t>
      </w:r>
      <w:proofErr w:type="spellEnd"/>
      <w:r>
        <w:rPr>
          <w:color w:val="000000"/>
        </w:rPr>
        <w:t xml:space="preserve"> Board.  </w:t>
      </w:r>
    </w:p>
    <w:p w:rsidR="007F28DC" w:rsidRDefault="007F28DC" w:rsidP="00561B02">
      <w:pPr>
        <w:numPr>
          <w:ilvl w:val="0"/>
          <w:numId w:val="7"/>
        </w:numPr>
        <w:tabs>
          <w:tab w:val="clear" w:pos="720"/>
          <w:tab w:val="num" w:pos="810"/>
        </w:tabs>
        <w:spacing w:before="240"/>
        <w:ind w:left="270" w:hanging="270"/>
        <w:jc w:val="both"/>
        <w:rPr>
          <w:color w:val="000000"/>
        </w:rPr>
      </w:pPr>
      <w:r>
        <w:rPr>
          <w:rStyle w:val="yshortcuts"/>
          <w:b/>
          <w:bCs/>
          <w:color w:val="000000"/>
        </w:rPr>
        <w:t>LEARNING DISABILITIES</w:t>
      </w:r>
      <w:r>
        <w:rPr>
          <w:color w:val="000000"/>
        </w:rPr>
        <w:t xml:space="preserve">:  Any student who feels that he may need accommodations based on the impact of a physical, psychological, medical, or </w:t>
      </w:r>
      <w:r>
        <w:rPr>
          <w:rStyle w:val="yshortcuts"/>
          <w:color w:val="000000"/>
        </w:rPr>
        <w:t>learning disability</w:t>
      </w:r>
      <w:r>
        <w:rPr>
          <w:color w:val="000000"/>
        </w:rPr>
        <w:t xml:space="preserve"> should contact Students' Affair Office.</w:t>
      </w:r>
    </w:p>
    <w:p w:rsidR="007F28DC" w:rsidRDefault="007F28DC" w:rsidP="00561B02">
      <w:pPr>
        <w:numPr>
          <w:ilvl w:val="0"/>
          <w:numId w:val="8"/>
        </w:numPr>
        <w:tabs>
          <w:tab w:val="clear" w:pos="720"/>
          <w:tab w:val="num" w:pos="810"/>
        </w:tabs>
        <w:spacing w:before="240"/>
        <w:ind w:left="270" w:hanging="270"/>
        <w:jc w:val="both"/>
        <w:rPr>
          <w:color w:val="000000"/>
        </w:rPr>
      </w:pPr>
      <w:bookmarkStart w:id="5" w:name="Weather"/>
      <w:r>
        <w:rPr>
          <w:b/>
          <w:bCs/>
          <w:caps/>
          <w:color w:val="000000"/>
        </w:rPr>
        <w:t>Inclement Weather Policy</w:t>
      </w:r>
      <w:bookmarkEnd w:id="5"/>
      <w:r>
        <w:rPr>
          <w:color w:val="000000"/>
        </w:rPr>
        <w:t xml:space="preserve">:  In cases of inclement weather, commuter and campus based disabled students will be permitted to make decisions about whether or not to attend classes without penalty.  If the University is open, it is expected that residence students will attend all classes being held that day.  Cancelled classes will not be rescheduled since students should utilize the cancelled class period as </w:t>
      </w:r>
      <w:r>
        <w:rPr>
          <w:rStyle w:val="yshortcuts"/>
          <w:color w:val="000000"/>
        </w:rPr>
        <w:t>computer lab time</w:t>
      </w:r>
      <w:r>
        <w:rPr>
          <w:color w:val="000000"/>
        </w:rPr>
        <w:t xml:space="preserve">. </w:t>
      </w:r>
    </w:p>
    <w:p w:rsidR="007F28DC" w:rsidRDefault="007F28DC" w:rsidP="007F28DC">
      <w:pPr>
        <w:spacing w:before="240"/>
        <w:ind w:firstLine="119"/>
        <w:jc w:val="both"/>
        <w:rPr>
          <w:color w:val="000000"/>
        </w:rPr>
      </w:pPr>
      <w:r>
        <w:rPr>
          <w:b/>
          <w:bCs/>
          <w:color w:val="000000"/>
        </w:rPr>
        <w:t> </w:t>
      </w:r>
      <w:bookmarkStart w:id="6" w:name="Comments"/>
      <w:r>
        <w:rPr>
          <w:b/>
          <w:bCs/>
          <w:color w:val="000000"/>
        </w:rPr>
        <w:t>COMMENTS</w:t>
      </w:r>
      <w:bookmarkEnd w:id="6"/>
      <w:r>
        <w:rPr>
          <w:color w:val="000000"/>
        </w:rPr>
        <w:t xml:space="preserve">:  </w:t>
      </w:r>
    </w:p>
    <w:p w:rsidR="007F28DC" w:rsidRDefault="007F28DC" w:rsidP="00561B02">
      <w:pPr>
        <w:pStyle w:val="ListParagraph"/>
        <w:numPr>
          <w:ilvl w:val="0"/>
          <w:numId w:val="9"/>
        </w:numPr>
        <w:spacing w:before="60"/>
        <w:jc w:val="both"/>
      </w:pPr>
      <w:r w:rsidRPr="00561B02">
        <w:rPr>
          <w:color w:val="000000"/>
        </w:rPr>
        <w:t xml:space="preserve">The instructor reserves the right to make any appropriate and necessary changes to the Course Syllabus and Class Schedule.  </w:t>
      </w:r>
    </w:p>
    <w:p w:rsidR="007F28DC" w:rsidRDefault="007F28DC" w:rsidP="00561B02">
      <w:pPr>
        <w:pStyle w:val="ListParagraph"/>
        <w:numPr>
          <w:ilvl w:val="0"/>
          <w:numId w:val="9"/>
        </w:numPr>
        <w:spacing w:before="60"/>
        <w:jc w:val="both"/>
      </w:pPr>
      <w:r w:rsidRPr="00561B02">
        <w:rPr>
          <w:color w:val="000000"/>
        </w:rPr>
        <w:t xml:space="preserve">Students are responsible for all materials covered in class as well as materials in the textbook.  If you must be absent, the instructor assumes that you have obtained notes from a classmate.  Any student having difficulty with the materials should make an appointment to see the instructor. </w:t>
      </w:r>
    </w:p>
    <w:p w:rsidR="007F28DC" w:rsidRDefault="007F28DC" w:rsidP="00561B02">
      <w:pPr>
        <w:pStyle w:val="ListParagraph"/>
        <w:numPr>
          <w:ilvl w:val="0"/>
          <w:numId w:val="9"/>
        </w:numPr>
        <w:spacing w:before="60"/>
        <w:jc w:val="both"/>
      </w:pPr>
      <w:r w:rsidRPr="00561B02">
        <w:rPr>
          <w:color w:val="000000"/>
        </w:rPr>
        <w:t xml:space="preserve">Private conversations between students are disruptive and annoying to both the instructor and other students. Therefore, students with disruptive and annoying </w:t>
      </w:r>
      <w:proofErr w:type="spellStart"/>
      <w:r w:rsidRPr="00561B02">
        <w:rPr>
          <w:color w:val="000000"/>
        </w:rPr>
        <w:t>behaviours</w:t>
      </w:r>
      <w:proofErr w:type="spellEnd"/>
      <w:r w:rsidRPr="00561B02">
        <w:rPr>
          <w:color w:val="000000"/>
        </w:rPr>
        <w:t xml:space="preserve"> are dismissed from class until the </w:t>
      </w:r>
      <w:proofErr w:type="spellStart"/>
      <w:r w:rsidRPr="00561B02">
        <w:rPr>
          <w:color w:val="000000"/>
        </w:rPr>
        <w:t>behaviour</w:t>
      </w:r>
      <w:proofErr w:type="spellEnd"/>
      <w:r w:rsidRPr="00561B02">
        <w:rPr>
          <w:color w:val="000000"/>
        </w:rPr>
        <w:t xml:space="preserve"> is under control.</w:t>
      </w:r>
    </w:p>
    <w:p w:rsidR="00112152" w:rsidRDefault="00112152" w:rsidP="003F2C47">
      <w:pPr>
        <w:jc w:val="both"/>
        <w:rPr>
          <w:lang w:val="en-AU"/>
        </w:rPr>
      </w:pPr>
    </w:p>
    <w:p w:rsidR="00112152" w:rsidRDefault="00B84754" w:rsidP="003F2C47">
      <w:pPr>
        <w:jc w:val="both"/>
        <w:rPr>
          <w:lang w:val="en-AU"/>
        </w:rPr>
      </w:pPr>
      <w:r w:rsidRPr="00B84754">
        <w:rPr>
          <w:b/>
          <w:bCs/>
          <w:lang w:val="en-AU"/>
        </w:rPr>
        <w:t>Note:</w:t>
      </w:r>
      <w:r>
        <w:rPr>
          <w:lang w:val="en-AU"/>
        </w:rPr>
        <w:t xml:space="preserve"> </w:t>
      </w:r>
      <w:r w:rsidRPr="00B84754">
        <w:rPr>
          <w:i/>
          <w:iCs/>
          <w:lang w:val="en-AU"/>
        </w:rPr>
        <w:t>Those students who will show improvements will get some bonus marks.</w:t>
      </w:r>
    </w:p>
    <w:p w:rsidR="00112152" w:rsidRDefault="00112152" w:rsidP="003F2C47">
      <w:pPr>
        <w:jc w:val="both"/>
        <w:rPr>
          <w:lang w:val="en-AU"/>
        </w:rPr>
      </w:pPr>
    </w:p>
    <w:p w:rsidR="00A15AB4" w:rsidRDefault="00A15AB4" w:rsidP="003F2C47">
      <w:pPr>
        <w:jc w:val="both"/>
        <w:rPr>
          <w:lang w:val="en-AU"/>
        </w:rPr>
      </w:pPr>
    </w:p>
    <w:p w:rsidR="00B84754" w:rsidRDefault="001E1670" w:rsidP="001E1670">
      <w:pPr>
        <w:jc w:val="right"/>
        <w:rPr>
          <w:lang w:val="en-AU"/>
        </w:rPr>
      </w:pPr>
      <w:r w:rsidRPr="001E1670">
        <w:rPr>
          <w:noProof/>
        </w:rPr>
        <w:drawing>
          <wp:inline distT="0" distB="0" distL="0" distR="0">
            <wp:extent cx="1419225" cy="371475"/>
            <wp:effectExtent l="0" t="0" r="9525" b="9525"/>
            <wp:docPr id="3" name="Picture 3" descr="C:\Users\KSU-AlMuzahimiyia\Dropbox\My Documents\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SU-AlMuzahimiyia\Dropbox\My Documents\sig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19225" cy="371475"/>
                    </a:xfrm>
                    <a:prstGeom prst="rect">
                      <a:avLst/>
                    </a:prstGeom>
                    <a:noFill/>
                    <a:ln>
                      <a:noFill/>
                    </a:ln>
                  </pic:spPr>
                </pic:pic>
              </a:graphicData>
            </a:graphic>
          </wp:inline>
        </w:drawing>
      </w:r>
    </w:p>
    <w:p w:rsidR="00112152" w:rsidRPr="00A15AB4" w:rsidRDefault="00A15AB4" w:rsidP="00112152">
      <w:pPr>
        <w:jc w:val="right"/>
        <w:rPr>
          <w:b/>
          <w:bCs/>
          <w:sz w:val="28"/>
          <w:szCs w:val="28"/>
          <w:lang w:val="en-AU"/>
        </w:rPr>
      </w:pPr>
      <w:r>
        <w:rPr>
          <w:b/>
          <w:bCs/>
          <w:sz w:val="28"/>
          <w:szCs w:val="28"/>
          <w:lang w:val="en-AU"/>
        </w:rPr>
        <w:t>(</w:t>
      </w:r>
      <w:r w:rsidR="00112152" w:rsidRPr="00A15AB4">
        <w:rPr>
          <w:b/>
          <w:bCs/>
          <w:sz w:val="28"/>
          <w:szCs w:val="28"/>
          <w:lang w:val="en-AU"/>
        </w:rPr>
        <w:t>Course- Instructor</w:t>
      </w:r>
      <w:r>
        <w:rPr>
          <w:b/>
          <w:bCs/>
          <w:sz w:val="28"/>
          <w:szCs w:val="28"/>
          <w:lang w:val="en-AU"/>
        </w:rPr>
        <w:t>)</w:t>
      </w:r>
    </w:p>
    <w:sectPr w:rsidR="00112152" w:rsidRPr="00A15AB4" w:rsidSect="00561B02">
      <w:pgSz w:w="12240" w:h="15840"/>
      <w:pgMar w:top="81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828C7"/>
    <w:multiLevelType w:val="hybridMultilevel"/>
    <w:tmpl w:val="3ABCA174"/>
    <w:lvl w:ilvl="0" w:tplc="4CF00BEE">
      <w:start w:val="1"/>
      <w:numFmt w:val="bullet"/>
      <w:lvlText w:val=""/>
      <w:lvlJc w:val="left"/>
      <w:pPr>
        <w:tabs>
          <w:tab w:val="num" w:pos="405"/>
        </w:tabs>
        <w:ind w:left="40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 w15:restartNumberingAfterBreak="0">
    <w:nsid w:val="11D705DB"/>
    <w:multiLevelType w:val="multilevel"/>
    <w:tmpl w:val="9BC0AE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717C46"/>
    <w:multiLevelType w:val="multilevel"/>
    <w:tmpl w:val="AFD87B2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81509AB"/>
    <w:multiLevelType w:val="multilevel"/>
    <w:tmpl w:val="07C4535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A821D01"/>
    <w:multiLevelType w:val="multilevel"/>
    <w:tmpl w:val="AA0630F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F5705FC"/>
    <w:multiLevelType w:val="hybridMultilevel"/>
    <w:tmpl w:val="482E8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3F7738"/>
    <w:multiLevelType w:val="hybridMultilevel"/>
    <w:tmpl w:val="E22EB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A6282D"/>
    <w:multiLevelType w:val="hybridMultilevel"/>
    <w:tmpl w:val="205E26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A32B1D"/>
    <w:multiLevelType w:val="multilevel"/>
    <w:tmpl w:val="4D46FDC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7"/>
  </w:num>
  <w:num w:numId="4">
    <w:abstractNumId w:val="1"/>
  </w:num>
  <w:num w:numId="5">
    <w:abstractNumId w:val="8"/>
  </w:num>
  <w:num w:numId="6">
    <w:abstractNumId w:val="2"/>
  </w:num>
  <w:num w:numId="7">
    <w:abstractNumId w:val="4"/>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B77"/>
    <w:rsid w:val="00112152"/>
    <w:rsid w:val="001C5447"/>
    <w:rsid w:val="001E1670"/>
    <w:rsid w:val="00264573"/>
    <w:rsid w:val="003621C9"/>
    <w:rsid w:val="003E57D5"/>
    <w:rsid w:val="003F2C47"/>
    <w:rsid w:val="00422861"/>
    <w:rsid w:val="00430FCD"/>
    <w:rsid w:val="00440EF0"/>
    <w:rsid w:val="0050195A"/>
    <w:rsid w:val="00551A82"/>
    <w:rsid w:val="00561B02"/>
    <w:rsid w:val="00580C2B"/>
    <w:rsid w:val="00581278"/>
    <w:rsid w:val="006058F8"/>
    <w:rsid w:val="006A1EE5"/>
    <w:rsid w:val="007F28DC"/>
    <w:rsid w:val="00986032"/>
    <w:rsid w:val="009A74A7"/>
    <w:rsid w:val="00A15AB4"/>
    <w:rsid w:val="00AB2B77"/>
    <w:rsid w:val="00AF4938"/>
    <w:rsid w:val="00B84754"/>
    <w:rsid w:val="00D62FF2"/>
    <w:rsid w:val="00E24A0C"/>
    <w:rsid w:val="00FC5F7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21A091-DBCC-490B-B6F9-4B950B661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2C47"/>
    <w:pPr>
      <w:spacing w:after="0" w:line="240" w:lineRule="auto"/>
    </w:pPr>
    <w:rPr>
      <w:rFonts w:ascii="Times New Roman" w:eastAsia="Times New Roman" w:hAnsi="Times New Roman" w:cs="Times New Roman"/>
      <w:sz w:val="24"/>
      <w:szCs w:val="24"/>
    </w:rPr>
  </w:style>
  <w:style w:type="paragraph" w:styleId="Heading7">
    <w:name w:val="heading 7"/>
    <w:basedOn w:val="Normal"/>
    <w:next w:val="Normal"/>
    <w:link w:val="Heading7Char"/>
    <w:qFormat/>
    <w:rsid w:val="003F2C47"/>
    <w:pPr>
      <w:spacing w:before="240" w:after="60"/>
      <w:outlineLvl w:val="6"/>
    </w:pPr>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3F2C47"/>
    <w:rPr>
      <w:rFonts w:ascii="Times New Roman" w:eastAsia="Times New Roman" w:hAnsi="Times New Roman" w:cs="Times New Roman"/>
      <w:sz w:val="24"/>
      <w:szCs w:val="24"/>
      <w:lang w:val="en-AU"/>
    </w:rPr>
  </w:style>
  <w:style w:type="paragraph" w:styleId="ListParagraph">
    <w:name w:val="List Paragraph"/>
    <w:basedOn w:val="Normal"/>
    <w:uiPriority w:val="34"/>
    <w:qFormat/>
    <w:rsid w:val="003F2C47"/>
    <w:pPr>
      <w:ind w:left="720"/>
      <w:contextualSpacing/>
    </w:pPr>
  </w:style>
  <w:style w:type="character" w:styleId="Hyperlink">
    <w:name w:val="Hyperlink"/>
    <w:rsid w:val="00580C2B"/>
    <w:rPr>
      <w:strike w:val="0"/>
      <w:dstrike w:val="0"/>
      <w:color w:val="5A7D56"/>
      <w:u w:val="none"/>
      <w:effect w:val="none"/>
    </w:rPr>
  </w:style>
  <w:style w:type="character" w:styleId="Emphasis">
    <w:name w:val="Emphasis"/>
    <w:qFormat/>
    <w:rsid w:val="00580C2B"/>
    <w:rPr>
      <w:i/>
      <w:iCs/>
    </w:rPr>
  </w:style>
  <w:style w:type="table" w:styleId="TableGrid">
    <w:name w:val="Table Grid"/>
    <w:basedOn w:val="TableNormal"/>
    <w:uiPriority w:val="59"/>
    <w:rsid w:val="00430F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shortcuts">
    <w:name w:val="yshortcuts"/>
    <w:basedOn w:val="DefaultParagraphFont"/>
    <w:rsid w:val="007F28DC"/>
  </w:style>
  <w:style w:type="paragraph" w:styleId="NoSpacing">
    <w:name w:val="No Spacing"/>
    <w:uiPriority w:val="1"/>
    <w:qFormat/>
    <w:rsid w:val="00D62FF2"/>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su.edu.sa/" TargetMode="External"/><Relationship Id="rId3" Type="http://schemas.openxmlformats.org/officeDocument/2006/relationships/settings" Target="settings.xml"/><Relationship Id="rId7" Type="http://schemas.openxmlformats.org/officeDocument/2006/relationships/hyperlink" Target="http://search.barnesandnoble.com/booksearch/results.asp?ATH=J%2E+Robert+Buchana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mailto:mialam@ksu.edu.sa"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ksu.edu.s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3</Pages>
  <Words>1118</Words>
  <Characters>6378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KSU-AlMuzahimiyia</dc:creator>
  <cp:keywords/>
  <dc:description/>
  <cp:lastModifiedBy>KSU-AlMuzahimiyia</cp:lastModifiedBy>
  <cp:revision>22</cp:revision>
  <dcterms:created xsi:type="dcterms:W3CDTF">2016-01-05T07:27:00Z</dcterms:created>
  <dcterms:modified xsi:type="dcterms:W3CDTF">2016-01-31T09:08:00Z</dcterms:modified>
</cp:coreProperties>
</file>