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DA" w:rsidRDefault="00F64F55" w:rsidP="007116DA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proofErr w:type="spellStart"/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7116DA">
        <w:rPr>
          <w:rFonts w:hint="cs"/>
          <w:b/>
          <w:bCs/>
          <w:sz w:val="24"/>
          <w:szCs w:val="24"/>
          <w:rtl/>
        </w:rPr>
        <w:t>القانون</w:t>
      </w:r>
      <w:proofErr w:type="spellEnd"/>
      <w:r w:rsidR="007116DA">
        <w:rPr>
          <w:rFonts w:hint="cs"/>
          <w:b/>
          <w:bCs/>
          <w:sz w:val="24"/>
          <w:szCs w:val="24"/>
          <w:rtl/>
        </w:rPr>
        <w:t xml:space="preserve"> البحري</w:t>
      </w:r>
    </w:p>
    <w:p w:rsidR="00AF4FF7" w:rsidRPr="00D02715" w:rsidRDefault="00AF4FF7" w:rsidP="0082181E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رمز </w:t>
      </w:r>
      <w:proofErr w:type="spellStart"/>
      <w:r>
        <w:rPr>
          <w:rFonts w:hint="cs"/>
          <w:b/>
          <w:bCs/>
          <w:sz w:val="24"/>
          <w:szCs w:val="24"/>
          <w:rtl/>
        </w:rPr>
        <w:t>المقرر</w:t>
      </w:r>
      <w:r w:rsidR="0082181E">
        <w:rPr>
          <w:rFonts w:hint="cs"/>
          <w:b/>
          <w:bCs/>
          <w:sz w:val="24"/>
          <w:szCs w:val="24"/>
          <w:rtl/>
        </w:rPr>
        <w:t>حقق</w:t>
      </w:r>
      <w:proofErr w:type="spellEnd"/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1B4886">
        <w:rPr>
          <w:rFonts w:hint="cs"/>
          <w:b/>
          <w:bCs/>
          <w:sz w:val="24"/>
          <w:szCs w:val="24"/>
          <w:rtl/>
        </w:rPr>
        <w:tab/>
      </w:r>
      <w:r w:rsidR="0082181E">
        <w:rPr>
          <w:rFonts w:hint="cs"/>
          <w:b/>
          <w:bCs/>
          <w:sz w:val="24"/>
          <w:szCs w:val="24"/>
          <w:rtl/>
        </w:rPr>
        <w:t>325</w:t>
      </w:r>
      <w:r>
        <w:rPr>
          <w:rFonts w:hint="cs"/>
          <w:b/>
          <w:bCs/>
          <w:sz w:val="24"/>
          <w:szCs w:val="24"/>
          <w:rtl/>
        </w:rPr>
        <w:tab/>
        <w:t>)</w:t>
      </w:r>
    </w:p>
    <w:p w:rsidR="00D26EDB" w:rsidRPr="00D02715" w:rsidRDefault="00D26EDB" w:rsidP="00337DAD">
      <w:pPr>
        <w:bidi/>
        <w:rPr>
          <w:b/>
          <w:bCs/>
          <w:sz w:val="24"/>
          <w:szCs w:val="24"/>
          <w:rtl/>
        </w:rPr>
      </w:pPr>
    </w:p>
    <w:p w:rsidR="001B4886" w:rsidRDefault="0085735C" w:rsidP="00B46875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75pt;margin-top:18.4pt;width:448.5pt;height:85.5pt;z-index:251658240" stroked="f">
            <v:textbox>
              <w:txbxContent>
                <w:p w:rsidR="00B46875" w:rsidRDefault="006C00C1" w:rsidP="00136231">
                  <w:pPr>
                    <w:bidi/>
                  </w:pPr>
                  <w:r>
                    <w:rPr>
                      <w:rFonts w:hint="cs"/>
                      <w:rtl/>
                    </w:rPr>
                    <w:t>يهدف هذا المقرر إلى تمكين الطالب من</w:t>
                  </w:r>
                  <w:r w:rsidR="00630149">
                    <w:rPr>
                      <w:rFonts w:hint="cs"/>
                      <w:rtl/>
                    </w:rPr>
                    <w:t xml:space="preserve"> معرف</w:t>
                  </w:r>
                  <w:r w:rsidR="00136231">
                    <w:rPr>
                      <w:rFonts w:hint="cs"/>
                      <w:rtl/>
                    </w:rPr>
                    <w:t xml:space="preserve">ة القواعد </w:t>
                  </w:r>
                  <w:proofErr w:type="spellStart"/>
                  <w:r w:rsidR="00136231">
                    <w:rPr>
                      <w:rFonts w:hint="cs"/>
                      <w:rtl/>
                    </w:rPr>
                    <w:t>القانونيه</w:t>
                  </w:r>
                  <w:proofErr w:type="spellEnd"/>
                  <w:r w:rsidR="00136231">
                    <w:rPr>
                      <w:rFonts w:hint="cs"/>
                      <w:rtl/>
                    </w:rPr>
                    <w:t xml:space="preserve"> التي تخضع لها </w:t>
                  </w:r>
                  <w:proofErr w:type="spellStart"/>
                  <w:r w:rsidR="00136231">
                    <w:rPr>
                      <w:rFonts w:hint="cs"/>
                      <w:rtl/>
                    </w:rPr>
                    <w:t>السفينه</w:t>
                  </w:r>
                  <w:proofErr w:type="spellEnd"/>
                  <w:r w:rsidR="00136231">
                    <w:rPr>
                      <w:rFonts w:hint="cs"/>
                      <w:rtl/>
                    </w:rPr>
                    <w:t xml:space="preserve"> وأشخاص </w:t>
                  </w:r>
                  <w:proofErr w:type="spellStart"/>
                  <w:r w:rsidR="00136231">
                    <w:rPr>
                      <w:rFonts w:hint="cs"/>
                      <w:rtl/>
                    </w:rPr>
                    <w:t>الملاحه</w:t>
                  </w:r>
                  <w:proofErr w:type="spellEnd"/>
                  <w:r w:rsidR="00136231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136231">
                    <w:rPr>
                      <w:rFonts w:hint="cs"/>
                      <w:rtl/>
                    </w:rPr>
                    <w:t>البحريه</w:t>
                  </w:r>
                  <w:proofErr w:type="spellEnd"/>
                  <w:r w:rsidR="00136231">
                    <w:rPr>
                      <w:rFonts w:hint="cs"/>
                      <w:rtl/>
                    </w:rPr>
                    <w:t xml:space="preserve"> وعلى رأسهم </w:t>
                  </w:r>
                  <w:r w:rsidR="008B1850">
                    <w:rPr>
                      <w:rFonts w:hint="cs"/>
                      <w:rtl/>
                    </w:rPr>
                    <w:t xml:space="preserve">ربان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السفينه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،والنظام القانوني الذي يحكم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الملاحه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البحريه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والملاحه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المساعده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والعقود 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التجاريه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البحريه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والحوادث البحرية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والخسارات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المشتركه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والتأمين البحري في ضوء أنظمة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المملكه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العربيه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السعوديه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والمعاهدات البحرية الدولية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والأنظمه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القانونيه</w:t>
                  </w:r>
                  <w:proofErr w:type="spellEnd"/>
                  <w:r w:rsidR="008B1850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B1850">
                    <w:rPr>
                      <w:rFonts w:hint="cs"/>
                      <w:rtl/>
                    </w:rPr>
                    <w:t>المقارنه</w:t>
                  </w:r>
                  <w:proofErr w:type="spellEnd"/>
                </w:p>
              </w:txbxContent>
            </v:textbox>
          </v:shape>
        </w:pic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B46875" w:rsidRPr="00B46875" w:rsidRDefault="00B46875" w:rsidP="00B46875">
      <w:pPr>
        <w:pStyle w:val="a7"/>
        <w:bidi/>
        <w:rPr>
          <w:b/>
          <w:bCs/>
          <w:sz w:val="24"/>
          <w:szCs w:val="24"/>
          <w:rtl/>
        </w:rPr>
      </w:pPr>
    </w:p>
    <w:p w:rsidR="00322D6D" w:rsidRPr="00322D6D" w:rsidRDefault="0085735C" w:rsidP="00322D6D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2" type="#_x0000_t202" style="position:absolute;left:0;text-align:left;margin-left:24.75pt;margin-top:20.5pt;width:448.5pt;height:85.5pt;z-index:251659264" stroked="f">
            <v:textbox>
              <w:txbxContent>
                <w:p w:rsidR="00322D6D" w:rsidRDefault="00C452AA" w:rsidP="00C452AA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>شرح القانون التجاري البحري السعودي ,د.ثروت عبد الرحيم ,عمادة شؤون المكتبات ,جامعة الملك سعود ,الرياض</w:t>
                  </w:r>
                </w:p>
                <w:p w:rsidR="00C452AA" w:rsidRDefault="00C452AA" w:rsidP="00C452AA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القانون البحري ,د.علي جمال الدين عوض </w:t>
                  </w:r>
                  <w:r w:rsidR="00C1571E">
                    <w:rPr>
                      <w:rFonts w:hint="cs"/>
                      <w:rtl/>
                    </w:rPr>
                    <w:t>، 1987</w:t>
                  </w:r>
                  <w:r>
                    <w:rPr>
                      <w:rFonts w:hint="cs"/>
                      <w:rtl/>
                    </w:rPr>
                    <w:t xml:space="preserve">,دار </w:t>
                  </w:r>
                  <w:proofErr w:type="spellStart"/>
                  <w:r>
                    <w:rPr>
                      <w:rFonts w:hint="cs"/>
                      <w:rtl/>
                    </w:rPr>
                    <w:t>النهضه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العربيه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,مصر</w:t>
                  </w:r>
                  <w:r w:rsidR="00C1571E"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</w:p>
                <w:p w:rsidR="00C452AA" w:rsidRDefault="00967516" w:rsidP="00C452AA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>القانون البحري الجديد د.مصطفى كمال طه</w:t>
                  </w:r>
                  <w:r w:rsidR="00C1571E">
                    <w:rPr>
                      <w:rFonts w:hint="cs"/>
                      <w:rtl/>
                    </w:rPr>
                    <w:t xml:space="preserve">،1995 </w:t>
                  </w:r>
                  <w:r>
                    <w:rPr>
                      <w:rFonts w:hint="cs"/>
                      <w:rtl/>
                    </w:rPr>
                    <w:t xml:space="preserve"> دار </w:t>
                  </w:r>
                  <w:proofErr w:type="spellStart"/>
                  <w:r>
                    <w:rPr>
                      <w:rFonts w:hint="cs"/>
                      <w:rtl/>
                    </w:rPr>
                    <w:t>الجامعه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الجديدة للنشر ,مصر 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(الكتب والمراجع</w:t>
      </w:r>
      <w:r w:rsidR="00A935F0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E469A4" w:rsidRDefault="00E469A4" w:rsidP="00E469A4">
      <w:pPr>
        <w:pStyle w:val="a7"/>
        <w:bidi/>
        <w:rPr>
          <w:b/>
          <w:bCs/>
          <w:sz w:val="24"/>
          <w:szCs w:val="24"/>
        </w:rPr>
      </w:pPr>
    </w:p>
    <w:p w:rsidR="00337DAD" w:rsidRPr="00B5625F" w:rsidRDefault="0085735C" w:rsidP="00E469A4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3" type="#_x0000_t202" style="position:absolute;left:0;text-align:left;margin-left:18.75pt;margin-top:20.15pt;width:448.5pt;height:85.5pt;z-index:251660288" stroked="f">
            <v:textbox>
              <w:txbxContent>
                <w:p w:rsidR="00E469A4" w:rsidRDefault="00C80425" w:rsidP="00C80425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الأول</w:t>
                  </w:r>
                  <w:r>
                    <w:t>30</w:t>
                  </w:r>
                  <w:r w:rsidR="007D011C"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D91417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الثاني 2</w:t>
                  </w:r>
                  <w:r w:rsidR="00D91417">
                    <w:rPr>
                      <w:rFonts w:hint="cs"/>
                      <w:rtl/>
                    </w:rPr>
                    <w:t>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C80425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مشاركه(عروض </w:t>
                  </w:r>
                  <w:proofErr w:type="spellStart"/>
                  <w:r>
                    <w:rPr>
                      <w:rFonts w:hint="cs"/>
                      <w:rtl/>
                    </w:rPr>
                    <w:t>ووأوراق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عمل وواجبات )</w:t>
                  </w:r>
                  <w:r w:rsidR="00C80425">
                    <w:t>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1B4886" w:rsidRDefault="001B4886" w:rsidP="001B4886">
      <w:pPr>
        <w:pStyle w:val="a7"/>
        <w:bidi/>
        <w:rPr>
          <w:b/>
          <w:bCs/>
          <w:sz w:val="24"/>
          <w:szCs w:val="24"/>
        </w:rPr>
      </w:pPr>
    </w:p>
    <w:p w:rsidR="00D02715" w:rsidRDefault="00337DAD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F9791A" w:rsidRPr="00F9791A" w:rsidRDefault="00F9791A" w:rsidP="00F9791A">
      <w:pPr>
        <w:pStyle w:val="a7"/>
        <w:rPr>
          <w:b/>
          <w:bCs/>
          <w:sz w:val="24"/>
          <w:szCs w:val="24"/>
          <w:rtl/>
        </w:rPr>
      </w:pPr>
    </w:p>
    <w:p w:rsidR="00F9791A" w:rsidRDefault="00F9791A" w:rsidP="00BF13C7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الأول : </w:t>
      </w:r>
      <w:r w:rsidR="00BF13C7">
        <w:rPr>
          <w:b/>
          <w:bCs/>
          <w:sz w:val="24"/>
          <w:szCs w:val="24"/>
        </w:rPr>
        <w:t>14-5-1437</w:t>
      </w:r>
      <w:r w:rsidR="00093E00">
        <w:rPr>
          <w:rFonts w:hint="cs"/>
          <w:b/>
          <w:bCs/>
          <w:sz w:val="24"/>
          <w:szCs w:val="24"/>
          <w:rtl/>
        </w:rPr>
        <w:t xml:space="preserve"> </w:t>
      </w:r>
      <w:r w:rsidR="00257FD9">
        <w:rPr>
          <w:rFonts w:hint="cs"/>
          <w:b/>
          <w:bCs/>
          <w:sz w:val="24"/>
          <w:szCs w:val="24"/>
          <w:rtl/>
        </w:rPr>
        <w:t xml:space="preserve">  </w:t>
      </w:r>
    </w:p>
    <w:p w:rsidR="00F9791A" w:rsidRDefault="00F9791A" w:rsidP="00CA34F6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الثاني : </w:t>
      </w:r>
      <w:r w:rsidR="00CA34F6">
        <w:rPr>
          <w:b/>
          <w:bCs/>
          <w:sz w:val="24"/>
          <w:szCs w:val="24"/>
        </w:rPr>
        <w:t>20-6-1437</w:t>
      </w:r>
    </w:p>
    <w:p w:rsidR="0070459C" w:rsidRPr="0070459C" w:rsidRDefault="0070459C" w:rsidP="0070459C">
      <w:pPr>
        <w:pStyle w:val="a7"/>
        <w:rPr>
          <w:b/>
          <w:bCs/>
          <w:sz w:val="24"/>
          <w:szCs w:val="24"/>
          <w:rtl/>
        </w:rPr>
      </w:pPr>
    </w:p>
    <w:p w:rsidR="0070459C" w:rsidRPr="00B5625F" w:rsidRDefault="0070459C" w:rsidP="0070459C">
      <w:pPr>
        <w:pStyle w:val="a7"/>
        <w:bidi/>
        <w:rPr>
          <w:b/>
          <w:bCs/>
          <w:sz w:val="24"/>
          <w:szCs w:val="24"/>
          <w:rtl/>
        </w:rPr>
      </w:pPr>
    </w:p>
    <w:p w:rsidR="00B46875" w:rsidRPr="00727A92" w:rsidRDefault="00B46875" w:rsidP="00727A92">
      <w:pPr>
        <w:bidi/>
        <w:rPr>
          <w:b/>
          <w:bCs/>
          <w:sz w:val="24"/>
          <w:szCs w:val="24"/>
          <w:rtl/>
        </w:rPr>
      </w:pPr>
    </w:p>
    <w:p w:rsidR="00B46875" w:rsidRDefault="00B46875" w:rsidP="00B46875">
      <w:pPr>
        <w:pStyle w:val="a7"/>
        <w:bidi/>
        <w:rPr>
          <w:b/>
          <w:bCs/>
          <w:sz w:val="24"/>
          <w:szCs w:val="24"/>
        </w:rPr>
      </w:pPr>
    </w:p>
    <w:p w:rsidR="001D4831" w:rsidRDefault="006B2126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A935F0" w:rsidRPr="00AF4FF7">
        <w:rPr>
          <w:rFonts w:hint="cs"/>
          <w:b/>
          <w:bCs/>
          <w:sz w:val="24"/>
          <w:szCs w:val="24"/>
          <w:rtl/>
        </w:rPr>
        <w:t>ة التدريس:</w:t>
      </w:r>
    </w:p>
    <w:p w:rsidR="00EC54F0" w:rsidRDefault="009615C0" w:rsidP="009615C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الإيميل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</w:t>
      </w:r>
      <w:hyperlink r:id="rId8" w:history="1">
        <w:r w:rsidR="00EC54F0" w:rsidRPr="00A32E14">
          <w:rPr>
            <w:rStyle w:val="Hyperlink"/>
            <w:b/>
            <w:bCs/>
            <w:sz w:val="24"/>
            <w:szCs w:val="24"/>
          </w:rPr>
          <w:t>aabandeh@ksu.edu.sa</w:t>
        </w:r>
      </w:hyperlink>
    </w:p>
    <w:p w:rsidR="008F1DD0" w:rsidRDefault="00093E00" w:rsidP="00093E0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12-1 </w:t>
      </w:r>
      <w:proofErr w:type="spellStart"/>
      <w:r>
        <w:rPr>
          <w:rFonts w:hint="cs"/>
          <w:b/>
          <w:bCs/>
          <w:sz w:val="24"/>
          <w:szCs w:val="24"/>
          <w:rtl/>
        </w:rPr>
        <w:t>الاحد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والثلاثاء والخميس</w:t>
      </w:r>
      <w:r w:rsidRPr="00AF4FF7">
        <w:rPr>
          <w:b/>
          <w:bCs/>
          <w:sz w:val="24"/>
          <w:szCs w:val="24"/>
          <w:rtl/>
        </w:rPr>
        <w:t xml:space="preserve"> </w:t>
      </w:r>
    </w:p>
    <w:p w:rsidR="008F1DD0" w:rsidRDefault="008F1DD0" w:rsidP="008F1DD0">
      <w:pPr>
        <w:bidi/>
        <w:rPr>
          <w:b/>
          <w:bCs/>
          <w:sz w:val="24"/>
          <w:szCs w:val="24"/>
        </w:rPr>
      </w:pPr>
    </w:p>
    <w:p w:rsidR="00D02715" w:rsidRPr="00AF4FF7" w:rsidRDefault="00AF4FF7" w:rsidP="00AF4FF7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5868"/>
        <w:gridCol w:w="1980"/>
        <w:gridCol w:w="2358"/>
      </w:tblGrid>
      <w:tr w:rsidR="00294D35" w:rsidRPr="00D02715" w:rsidTr="006F76FC">
        <w:trPr>
          <w:jc w:val="center"/>
        </w:trPr>
        <w:tc>
          <w:tcPr>
            <w:tcW w:w="5868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تعريف القانون البحري وتاريخه وتطوره ونطاق تطبيقه ومصادره</w:t>
            </w:r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تعريف القانون البحري وتاريخه وتطوره ونطاق تطبيقه ومصادره</w:t>
            </w:r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النظام القانوني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للسفينه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وأشخاص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الملاحه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البحريه</w:t>
            </w:r>
            <w:proofErr w:type="spellEnd"/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28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النظام القانوني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للسفينه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وأشخاص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الملاحه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البحريه</w:t>
            </w:r>
            <w:proofErr w:type="spellEnd"/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النظام القانوني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للسفينه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وأشخاص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الملاحه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البحريه</w:t>
            </w:r>
            <w:proofErr w:type="spellEnd"/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النظام القانوني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للسفينه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وأشخاص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الملاحه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البحريه</w:t>
            </w:r>
            <w:proofErr w:type="spellEnd"/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19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العقود البحري</w:t>
            </w:r>
          </w:p>
          <w:p w:rsidR="001C2A5B" w:rsidRPr="00BA05EE" w:rsidRDefault="001C2A5B" w:rsidP="00766FAD">
            <w:pPr>
              <w:bidi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العقود البحرية</w:t>
            </w:r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العقود البحرية</w:t>
            </w:r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18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العقود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البحريه</w:t>
            </w:r>
            <w:proofErr w:type="spellEnd"/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25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BA05EE" w:rsidRDefault="001C2A5B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العقود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البحريه</w:t>
            </w:r>
            <w:proofErr w:type="spellEnd"/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العقود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البحريه</w:t>
            </w:r>
            <w:proofErr w:type="spellEnd"/>
          </w:p>
        </w:tc>
        <w:tc>
          <w:tcPr>
            <w:tcW w:w="1980" w:type="dxa"/>
            <w:vAlign w:val="center"/>
          </w:tcPr>
          <w:p w:rsidR="001C2A5B" w:rsidRPr="00D02715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ab/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10-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القواعد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القانونيه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التي تخضع لها الحوادث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البحريه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والخسارات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المشتركة</w:t>
            </w:r>
          </w:p>
        </w:tc>
        <w:tc>
          <w:tcPr>
            <w:tcW w:w="1980" w:type="dxa"/>
            <w:vAlign w:val="center"/>
          </w:tcPr>
          <w:p w:rsidR="001C2A5B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358" w:type="dxa"/>
          </w:tcPr>
          <w:p w:rsidR="001C2A5B" w:rsidRDefault="001C2A5B" w:rsidP="003B6593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 xml:space="preserve">القواعد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القانونيه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التي تخضع لها الحوادث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البحريه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والخسارات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المشتركة</w:t>
            </w:r>
          </w:p>
        </w:tc>
        <w:tc>
          <w:tcPr>
            <w:tcW w:w="1980" w:type="dxa"/>
            <w:vAlign w:val="center"/>
          </w:tcPr>
          <w:p w:rsidR="001C2A5B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</w:tcPr>
          <w:p w:rsidR="001C2A5B" w:rsidRDefault="001C2A5B" w:rsidP="003B6593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24-</w:t>
            </w:r>
            <w:r>
              <w:rPr>
                <w:rFonts w:ascii="Arial" w:hAnsi="Arial" w:cs="Arial"/>
                <w:sz w:val="32"/>
                <w:szCs w:val="32"/>
              </w:rPr>
              <w:t>7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  <w:p w:rsidR="001C2A5B" w:rsidRDefault="001C2A5B" w:rsidP="003B6593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القواعد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القانونيه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التي تخضع لها الحوادث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البحريه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والخسارات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المشتركة</w:t>
            </w:r>
          </w:p>
        </w:tc>
        <w:tc>
          <w:tcPr>
            <w:tcW w:w="1980" w:type="dxa"/>
            <w:vAlign w:val="center"/>
          </w:tcPr>
          <w:p w:rsidR="001C2A5B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1C2A5B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1C2A5B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القواعد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القانونيه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التي تخضع لها الحوادث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البحريه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والخسارات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المشتركة</w:t>
            </w:r>
          </w:p>
        </w:tc>
        <w:tc>
          <w:tcPr>
            <w:tcW w:w="1980" w:type="dxa"/>
            <w:vAlign w:val="center"/>
          </w:tcPr>
          <w:p w:rsidR="001C2A5B" w:rsidRDefault="001C2A5B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 عشر</w:t>
            </w:r>
          </w:p>
        </w:tc>
        <w:tc>
          <w:tcPr>
            <w:tcW w:w="2358" w:type="dxa"/>
          </w:tcPr>
          <w:p w:rsidR="001C2A5B" w:rsidRPr="006D0222" w:rsidRDefault="001C2A5B" w:rsidP="003B659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</w:tbl>
    <w:p w:rsidR="00A76ABB" w:rsidRDefault="00615A66" w:rsidP="00337DAD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أستاذة المقرر :آلاء </w:t>
      </w:r>
      <w:proofErr w:type="spellStart"/>
      <w:r>
        <w:rPr>
          <w:rFonts w:hint="cs"/>
          <w:b/>
          <w:bCs/>
          <w:sz w:val="24"/>
          <w:szCs w:val="24"/>
          <w:rtl/>
        </w:rPr>
        <w:t>عبنده</w:t>
      </w:r>
      <w:proofErr w:type="spellEnd"/>
    </w:p>
    <w:p w:rsidR="00D26EDB" w:rsidRPr="00D02715" w:rsidRDefault="00D26EDB" w:rsidP="0087456E">
      <w:pPr>
        <w:bidi/>
        <w:rPr>
          <w:b/>
          <w:bCs/>
          <w:sz w:val="24"/>
          <w:szCs w:val="24"/>
          <w:rtl/>
        </w:rPr>
      </w:pPr>
    </w:p>
    <w:sectPr w:rsidR="00D26EDB" w:rsidRPr="00D02715" w:rsidSect="00AC4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D08" w:rsidRDefault="00141D08" w:rsidP="001B4AB2">
      <w:pPr>
        <w:spacing w:after="0" w:line="240" w:lineRule="auto"/>
      </w:pPr>
      <w:r>
        <w:separator/>
      </w:r>
    </w:p>
  </w:endnote>
  <w:endnote w:type="continuationSeparator" w:id="1">
    <w:p w:rsidR="00141D08" w:rsidRDefault="00141D08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Default="006B2126" w:rsidP="001B4AB2">
    <w:pPr>
      <w:pStyle w:val="a4"/>
      <w:pBdr>
        <w:bottom w:val="single" w:sz="6" w:space="1" w:color="auto"/>
      </w:pBdr>
      <w:bidi/>
    </w:pPr>
  </w:p>
  <w:p w:rsidR="006B2126" w:rsidRDefault="006B2126" w:rsidP="008669BC">
    <w:pPr>
      <w:pStyle w:val="a4"/>
      <w:pBdr>
        <w:bottom w:val="single" w:sz="6" w:space="1" w:color="auto"/>
      </w:pBdr>
      <w:bidi/>
      <w:rPr>
        <w:rtl/>
      </w:rPr>
    </w:pPr>
  </w:p>
  <w:p w:rsidR="006B2126" w:rsidRDefault="006B2126" w:rsidP="00BA05EE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proofErr w:type="spellStart"/>
    <w:r>
      <w:rPr>
        <w:rFonts w:hint="cs"/>
        <w:rtl/>
      </w:rPr>
      <w:t>عليشة</w:t>
    </w:r>
    <w:proofErr w:type="spellEnd"/>
    <w:r>
      <w:rPr>
        <w:rFonts w:hint="cs"/>
        <w:rtl/>
      </w:rPr>
      <w:t xml:space="preserve"> </w:t>
    </w:r>
    <w:r w:rsidR="00BA05EE">
      <w:rPr>
        <w:rFonts w:hint="cs"/>
        <w:rtl/>
      </w:rPr>
      <w:t xml:space="preserve">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D08" w:rsidRDefault="00141D08" w:rsidP="001B4AB2">
      <w:pPr>
        <w:spacing w:after="0" w:line="240" w:lineRule="auto"/>
      </w:pPr>
      <w:r>
        <w:separator/>
      </w:r>
    </w:p>
  </w:footnote>
  <w:footnote w:type="continuationSeparator" w:id="1">
    <w:p w:rsidR="00141D08" w:rsidRDefault="00141D08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Pr="001B4AB2" w:rsidRDefault="006B2126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6B2126" w:rsidRDefault="006B2126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6B2126" w:rsidRPr="00AC4D61" w:rsidRDefault="006B2126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6B2126" w:rsidRPr="001B4AB2" w:rsidRDefault="006B2126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6B2126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6B2126" w:rsidRDefault="006B2126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6B2126" w:rsidRPr="001B4AB2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1E6"/>
    <w:multiLevelType w:val="hybridMultilevel"/>
    <w:tmpl w:val="B27CC490"/>
    <w:lvl w:ilvl="0" w:tplc="BC92D4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6C1C80"/>
    <w:multiLevelType w:val="hybridMultilevel"/>
    <w:tmpl w:val="C5EA3B10"/>
    <w:lvl w:ilvl="0" w:tplc="E1F4C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F0F"/>
    <w:multiLevelType w:val="hybridMultilevel"/>
    <w:tmpl w:val="793C8C18"/>
    <w:lvl w:ilvl="0" w:tplc="571A0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5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342A3"/>
    <w:rsid w:val="00034F06"/>
    <w:rsid w:val="00037BBC"/>
    <w:rsid w:val="00067CC2"/>
    <w:rsid w:val="00082DB6"/>
    <w:rsid w:val="00093E00"/>
    <w:rsid w:val="00136231"/>
    <w:rsid w:val="00141D08"/>
    <w:rsid w:val="00197C9F"/>
    <w:rsid w:val="001B44A7"/>
    <w:rsid w:val="001B4886"/>
    <w:rsid w:val="001B4AB2"/>
    <w:rsid w:val="001C2A5B"/>
    <w:rsid w:val="001C34E8"/>
    <w:rsid w:val="001C47C9"/>
    <w:rsid w:val="001D4831"/>
    <w:rsid w:val="001E1669"/>
    <w:rsid w:val="001E16F3"/>
    <w:rsid w:val="00257FD9"/>
    <w:rsid w:val="00294D35"/>
    <w:rsid w:val="002E6340"/>
    <w:rsid w:val="003029E7"/>
    <w:rsid w:val="00322D6D"/>
    <w:rsid w:val="0033244D"/>
    <w:rsid w:val="00337DAD"/>
    <w:rsid w:val="00377AC4"/>
    <w:rsid w:val="003B6747"/>
    <w:rsid w:val="00433A9B"/>
    <w:rsid w:val="00472060"/>
    <w:rsid w:val="00504C17"/>
    <w:rsid w:val="00510E6C"/>
    <w:rsid w:val="00584181"/>
    <w:rsid w:val="00595BB2"/>
    <w:rsid w:val="005C095D"/>
    <w:rsid w:val="00615A66"/>
    <w:rsid w:val="00630149"/>
    <w:rsid w:val="00647D29"/>
    <w:rsid w:val="006910DA"/>
    <w:rsid w:val="0069152D"/>
    <w:rsid w:val="00692771"/>
    <w:rsid w:val="00693E9E"/>
    <w:rsid w:val="006A376E"/>
    <w:rsid w:val="006B2126"/>
    <w:rsid w:val="006B430D"/>
    <w:rsid w:val="006C00C1"/>
    <w:rsid w:val="006C21AB"/>
    <w:rsid w:val="006F76FC"/>
    <w:rsid w:val="007042FD"/>
    <w:rsid w:val="0070459C"/>
    <w:rsid w:val="007116DA"/>
    <w:rsid w:val="00727A92"/>
    <w:rsid w:val="00766FAD"/>
    <w:rsid w:val="007D011C"/>
    <w:rsid w:val="0082181E"/>
    <w:rsid w:val="00824ED5"/>
    <w:rsid w:val="0083106A"/>
    <w:rsid w:val="008456C8"/>
    <w:rsid w:val="0085219F"/>
    <w:rsid w:val="0085735C"/>
    <w:rsid w:val="008623A2"/>
    <w:rsid w:val="008669BC"/>
    <w:rsid w:val="00870791"/>
    <w:rsid w:val="0087456E"/>
    <w:rsid w:val="008752C9"/>
    <w:rsid w:val="00876786"/>
    <w:rsid w:val="00882F49"/>
    <w:rsid w:val="00897F05"/>
    <w:rsid w:val="008B1850"/>
    <w:rsid w:val="008F1DD0"/>
    <w:rsid w:val="008F2E2A"/>
    <w:rsid w:val="0090677C"/>
    <w:rsid w:val="00942B5B"/>
    <w:rsid w:val="009615C0"/>
    <w:rsid w:val="00967516"/>
    <w:rsid w:val="009812A8"/>
    <w:rsid w:val="009B2D61"/>
    <w:rsid w:val="009E1474"/>
    <w:rsid w:val="009F5FDB"/>
    <w:rsid w:val="00A5386D"/>
    <w:rsid w:val="00A76ABB"/>
    <w:rsid w:val="00A935F0"/>
    <w:rsid w:val="00AC4D61"/>
    <w:rsid w:val="00AE1EE2"/>
    <w:rsid w:val="00AF4FF7"/>
    <w:rsid w:val="00B46875"/>
    <w:rsid w:val="00B5625F"/>
    <w:rsid w:val="00B74033"/>
    <w:rsid w:val="00BA05EE"/>
    <w:rsid w:val="00BA303A"/>
    <w:rsid w:val="00BB2F35"/>
    <w:rsid w:val="00BF13C7"/>
    <w:rsid w:val="00C1571E"/>
    <w:rsid w:val="00C21106"/>
    <w:rsid w:val="00C23257"/>
    <w:rsid w:val="00C26A44"/>
    <w:rsid w:val="00C452AA"/>
    <w:rsid w:val="00C64396"/>
    <w:rsid w:val="00C80425"/>
    <w:rsid w:val="00C8174E"/>
    <w:rsid w:val="00CA34F6"/>
    <w:rsid w:val="00CA6F66"/>
    <w:rsid w:val="00CC4B47"/>
    <w:rsid w:val="00D02715"/>
    <w:rsid w:val="00D02A31"/>
    <w:rsid w:val="00D15370"/>
    <w:rsid w:val="00D26EDB"/>
    <w:rsid w:val="00D569DF"/>
    <w:rsid w:val="00D6602A"/>
    <w:rsid w:val="00D7550D"/>
    <w:rsid w:val="00D91417"/>
    <w:rsid w:val="00E108E6"/>
    <w:rsid w:val="00E17537"/>
    <w:rsid w:val="00E41847"/>
    <w:rsid w:val="00E469A4"/>
    <w:rsid w:val="00E6591F"/>
    <w:rsid w:val="00EB3415"/>
    <w:rsid w:val="00EC54F0"/>
    <w:rsid w:val="00ED07E5"/>
    <w:rsid w:val="00EE407D"/>
    <w:rsid w:val="00EF2EDC"/>
    <w:rsid w:val="00F310D8"/>
    <w:rsid w:val="00F40985"/>
    <w:rsid w:val="00F4141A"/>
    <w:rsid w:val="00F64F55"/>
    <w:rsid w:val="00F9791A"/>
    <w:rsid w:val="00FB1AD8"/>
    <w:rsid w:val="00FD1C36"/>
    <w:rsid w:val="00FE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bandeh@ksu.edu.s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D2C40-41CB-4520-AE07-9D5362F6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Dell</cp:lastModifiedBy>
  <cp:revision>80</cp:revision>
  <cp:lastPrinted>2015-08-25T07:54:00Z</cp:lastPrinted>
  <dcterms:created xsi:type="dcterms:W3CDTF">2014-09-02T20:45:00Z</dcterms:created>
  <dcterms:modified xsi:type="dcterms:W3CDTF">2016-01-20T07:35:00Z</dcterms:modified>
</cp:coreProperties>
</file>