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5CB" w:rsidRPr="005D1260" w:rsidRDefault="005245CB" w:rsidP="00F174C6">
      <w:pPr>
        <w:jc w:val="center"/>
        <w:rPr>
          <w:rFonts w:ascii="Andalus" w:hAnsi="Andalus" w:cs="Andalus"/>
          <w:b/>
          <w:bCs/>
          <w:sz w:val="40"/>
          <w:szCs w:val="40"/>
          <w:rtl/>
        </w:rPr>
      </w:pPr>
      <w:r w:rsidRPr="005D1260">
        <w:rPr>
          <w:rFonts w:ascii="Andalus" w:hAnsi="Andalus" w:cs="Andalus" w:hint="eastAsia"/>
          <w:b/>
          <w:bCs/>
          <w:sz w:val="40"/>
          <w:szCs w:val="40"/>
          <w:rtl/>
        </w:rPr>
        <w:t>قضايا</w:t>
      </w:r>
      <w:r w:rsidRPr="005D1260">
        <w:rPr>
          <w:rFonts w:ascii="Andalus" w:hAnsi="Andalus" w:cs="Andalus"/>
          <w:b/>
          <w:bCs/>
          <w:sz w:val="40"/>
          <w:szCs w:val="40"/>
          <w:rtl/>
        </w:rPr>
        <w:t xml:space="preserve"> الاسم المنقوص</w:t>
      </w:r>
    </w:p>
    <w:p w:rsidR="005245CB" w:rsidRDefault="005245CB" w:rsidP="00F174C6">
      <w:pPr>
        <w:jc w:val="lowKashida"/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/>
          <w:b/>
          <w:bCs/>
          <w:sz w:val="32"/>
          <w:szCs w:val="32"/>
          <w:rtl/>
        </w:rPr>
        <w:t xml:space="preserve">- </w:t>
      </w:r>
      <w:r w:rsidRPr="00645307">
        <w:rPr>
          <w:rFonts w:ascii="Andalus" w:hAnsi="Andalus" w:cs="Andalus" w:hint="eastAsia"/>
          <w:b/>
          <w:bCs/>
          <w:sz w:val="36"/>
          <w:szCs w:val="36"/>
          <w:rtl/>
        </w:rPr>
        <w:t>تعريفه</w:t>
      </w:r>
      <w:r>
        <w:rPr>
          <w:rFonts w:cs="Traditional Arabic"/>
          <w:b/>
          <w:bCs/>
          <w:sz w:val="32"/>
          <w:szCs w:val="32"/>
          <w:rtl/>
        </w:rPr>
        <w:t>: هو كل اسم معرب في آخره ياء لازمة قبلها كسرة, مثل : (القاضِي, النادِي).</w:t>
      </w:r>
    </w:p>
    <w:p w:rsidR="005245CB" w:rsidRDefault="005245CB" w:rsidP="00F174C6">
      <w:pPr>
        <w:jc w:val="lowKashida"/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/>
          <w:b/>
          <w:bCs/>
          <w:sz w:val="32"/>
          <w:szCs w:val="32"/>
          <w:rtl/>
        </w:rPr>
        <w:t xml:space="preserve">- </w:t>
      </w:r>
      <w:r w:rsidRPr="00645307">
        <w:rPr>
          <w:rFonts w:ascii="Andalus" w:hAnsi="Andalus" w:cs="Andalus" w:hint="eastAsia"/>
          <w:b/>
          <w:bCs/>
          <w:sz w:val="36"/>
          <w:szCs w:val="36"/>
          <w:rtl/>
        </w:rPr>
        <w:t>أنواعه</w:t>
      </w:r>
      <w:r>
        <w:rPr>
          <w:rFonts w:cs="Traditional Arabic"/>
          <w:b/>
          <w:bCs/>
          <w:sz w:val="32"/>
          <w:szCs w:val="32"/>
          <w:rtl/>
        </w:rPr>
        <w:t>:   المنقوص نوعان : - مفرد مثل: القاضي, النادي.</w:t>
      </w:r>
    </w:p>
    <w:p w:rsidR="005245CB" w:rsidRDefault="005245CB" w:rsidP="00F174C6">
      <w:pPr>
        <w:jc w:val="lowKashida"/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/>
          <w:b/>
          <w:bCs/>
          <w:sz w:val="32"/>
          <w:szCs w:val="32"/>
          <w:rtl/>
        </w:rPr>
        <w:t xml:space="preserve">                                      - جمع (صيغة منتهى الجموع) * مثل: النوادي, الجواري.</w:t>
      </w:r>
    </w:p>
    <w:p w:rsidR="005245CB" w:rsidRDefault="005245CB" w:rsidP="00F174C6">
      <w:pPr>
        <w:jc w:val="lowKashida"/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/>
          <w:b/>
          <w:bCs/>
          <w:sz w:val="32"/>
          <w:szCs w:val="32"/>
          <w:rtl/>
        </w:rPr>
        <w:t xml:space="preserve">- </w:t>
      </w:r>
      <w:r w:rsidRPr="00645307">
        <w:rPr>
          <w:rFonts w:ascii="Andalus" w:hAnsi="Andalus" w:cs="Andalus" w:hint="eastAsia"/>
          <w:b/>
          <w:bCs/>
          <w:sz w:val="36"/>
          <w:szCs w:val="36"/>
          <w:rtl/>
        </w:rPr>
        <w:t>حذف</w:t>
      </w:r>
      <w:r w:rsidRPr="00645307">
        <w:rPr>
          <w:rFonts w:ascii="Andalus" w:hAnsi="Andalus" w:cs="Andalus"/>
          <w:b/>
          <w:bCs/>
          <w:sz w:val="36"/>
          <w:szCs w:val="36"/>
          <w:rtl/>
        </w:rPr>
        <w:t xml:space="preserve"> ياء المنقوص وطريقة إعرابه</w:t>
      </w:r>
      <w:r>
        <w:rPr>
          <w:rFonts w:cs="Traditional Arabic"/>
          <w:b/>
          <w:bCs/>
          <w:sz w:val="32"/>
          <w:szCs w:val="32"/>
          <w:rtl/>
        </w:rPr>
        <w:t>:</w:t>
      </w:r>
    </w:p>
    <w:p w:rsidR="005245CB" w:rsidRDefault="005245CB" w:rsidP="00F174C6">
      <w:pPr>
        <w:jc w:val="lowKashida"/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/>
          <w:b/>
          <w:bCs/>
          <w:sz w:val="32"/>
          <w:szCs w:val="32"/>
          <w:rtl/>
        </w:rPr>
        <w:t xml:space="preserve">متى تحذف ياء المنقوص ومتى تثبت؟ وما هي طريقة إعرابه؟ </w:t>
      </w:r>
    </w:p>
    <w:p w:rsidR="005245CB" w:rsidRDefault="005245CB" w:rsidP="00F174C6">
      <w:pPr>
        <w:jc w:val="lowKashida"/>
        <w:rPr>
          <w:rFonts w:cs="Traditional Arabic"/>
          <w:b/>
          <w:bCs/>
          <w:sz w:val="32"/>
          <w:szCs w:val="32"/>
          <w:rtl/>
        </w:rPr>
      </w:pPr>
      <w:r w:rsidRPr="000F08C0">
        <w:rPr>
          <w:rFonts w:ascii="Andalus" w:hAnsi="Andalus" w:cs="Andalus" w:hint="eastAsia"/>
          <w:b/>
          <w:bCs/>
          <w:sz w:val="36"/>
          <w:szCs w:val="36"/>
          <w:rtl/>
        </w:rPr>
        <w:t>أولاً</w:t>
      </w:r>
      <w:r>
        <w:rPr>
          <w:rFonts w:cs="Traditional Arabic"/>
          <w:b/>
          <w:bCs/>
          <w:sz w:val="32"/>
          <w:szCs w:val="32"/>
          <w:rtl/>
        </w:rPr>
        <w:t>: أ-  تثبت ياء المنقوص بنوعيه (المفرد والجمع) في جميع الأحوال (أي رفعًا ونصبًا وجرًا)  إذا دخلته (أل) أو أضيف.</w:t>
      </w:r>
    </w:p>
    <w:p w:rsidR="005245CB" w:rsidRDefault="005245CB" w:rsidP="00F174C6">
      <w:pPr>
        <w:jc w:val="lowKashida"/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/>
          <w:b/>
          <w:bCs/>
          <w:sz w:val="32"/>
          <w:szCs w:val="32"/>
          <w:rtl/>
        </w:rPr>
        <w:t xml:space="preserve">                 مثال ما دخلته أل: القاضي , الجواري.</w:t>
      </w:r>
    </w:p>
    <w:p w:rsidR="005245CB" w:rsidRDefault="005245CB" w:rsidP="00F174C6">
      <w:pPr>
        <w:jc w:val="lowKashida"/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/>
          <w:b/>
          <w:bCs/>
          <w:sz w:val="32"/>
          <w:szCs w:val="32"/>
          <w:rtl/>
        </w:rPr>
        <w:t xml:space="preserve">                 مثال ما أضيف: قاضي المدينة, جواري القصر. </w:t>
      </w:r>
    </w:p>
    <w:p w:rsidR="005245CB" w:rsidRDefault="005245CB" w:rsidP="00F174C6">
      <w:pPr>
        <w:jc w:val="lowKashida"/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/>
          <w:b/>
          <w:bCs/>
          <w:sz w:val="32"/>
          <w:szCs w:val="32"/>
          <w:rtl/>
        </w:rPr>
        <w:t xml:space="preserve">        ب- وفي هذه الحال يرفع المنقوص ويجر بنوعيه (المفرد والجمع) بحركات مقدرة على الياء: (ضمة مقدرة, كسرة مقدرة)</w:t>
      </w:r>
    </w:p>
    <w:p w:rsidR="005245CB" w:rsidRDefault="005245CB" w:rsidP="00F174C6">
      <w:pPr>
        <w:jc w:val="lowKashida"/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/>
          <w:b/>
          <w:bCs/>
          <w:sz w:val="32"/>
          <w:szCs w:val="32"/>
          <w:rtl/>
        </w:rPr>
        <w:t>وينصب بفتحة ظاهرة.  انظري الأمثلة في الجدول الآتي:</w:t>
      </w:r>
    </w:p>
    <w:p w:rsidR="005245CB" w:rsidRDefault="005245CB" w:rsidP="00F174C6">
      <w:pPr>
        <w:jc w:val="lowKashida"/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/>
          <w:b/>
          <w:bCs/>
          <w:sz w:val="32"/>
          <w:szCs w:val="32"/>
          <w:rtl/>
        </w:rPr>
        <w:t xml:space="preserve">  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51"/>
        <w:gridCol w:w="1550"/>
        <w:gridCol w:w="1550"/>
        <w:gridCol w:w="1551"/>
        <w:gridCol w:w="1564"/>
        <w:gridCol w:w="1565"/>
      </w:tblGrid>
      <w:tr w:rsidR="005245CB" w:rsidTr="00735113">
        <w:tc>
          <w:tcPr>
            <w:tcW w:w="3472" w:type="dxa"/>
            <w:gridSpan w:val="2"/>
          </w:tcPr>
          <w:p w:rsidR="005245CB" w:rsidRPr="00735113" w:rsidRDefault="005245CB" w:rsidP="00735113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الرفع</w:t>
            </w:r>
          </w:p>
        </w:tc>
        <w:tc>
          <w:tcPr>
            <w:tcW w:w="3474" w:type="dxa"/>
            <w:gridSpan w:val="2"/>
          </w:tcPr>
          <w:p w:rsidR="005245CB" w:rsidRPr="00735113" w:rsidRDefault="005245CB" w:rsidP="00735113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النصب</w:t>
            </w:r>
          </w:p>
        </w:tc>
        <w:tc>
          <w:tcPr>
            <w:tcW w:w="3474" w:type="dxa"/>
            <w:gridSpan w:val="2"/>
          </w:tcPr>
          <w:p w:rsidR="005245CB" w:rsidRPr="00735113" w:rsidRDefault="005245CB" w:rsidP="00735113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الجر</w:t>
            </w:r>
          </w:p>
        </w:tc>
      </w:tr>
      <w:tr w:rsidR="005245CB" w:rsidTr="00735113">
        <w:tc>
          <w:tcPr>
            <w:tcW w:w="1736" w:type="dxa"/>
          </w:tcPr>
          <w:p w:rsidR="005245CB" w:rsidRPr="00735113" w:rsidRDefault="005245CB" w:rsidP="00735113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المفرد</w:t>
            </w:r>
          </w:p>
        </w:tc>
        <w:tc>
          <w:tcPr>
            <w:tcW w:w="1736" w:type="dxa"/>
          </w:tcPr>
          <w:p w:rsidR="005245CB" w:rsidRPr="00735113" w:rsidRDefault="005245CB" w:rsidP="00735113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الجمع</w:t>
            </w:r>
          </w:p>
        </w:tc>
        <w:tc>
          <w:tcPr>
            <w:tcW w:w="1737" w:type="dxa"/>
          </w:tcPr>
          <w:p w:rsidR="005245CB" w:rsidRPr="00735113" w:rsidRDefault="005245CB" w:rsidP="00735113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المفرد</w:t>
            </w:r>
          </w:p>
        </w:tc>
        <w:tc>
          <w:tcPr>
            <w:tcW w:w="1737" w:type="dxa"/>
          </w:tcPr>
          <w:p w:rsidR="005245CB" w:rsidRPr="00735113" w:rsidRDefault="005245CB" w:rsidP="00735113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الجمع</w:t>
            </w:r>
          </w:p>
        </w:tc>
        <w:tc>
          <w:tcPr>
            <w:tcW w:w="1737" w:type="dxa"/>
          </w:tcPr>
          <w:p w:rsidR="005245CB" w:rsidRPr="00735113" w:rsidRDefault="005245CB" w:rsidP="00735113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المفرد</w:t>
            </w:r>
          </w:p>
        </w:tc>
        <w:tc>
          <w:tcPr>
            <w:tcW w:w="1737" w:type="dxa"/>
          </w:tcPr>
          <w:p w:rsidR="005245CB" w:rsidRPr="00735113" w:rsidRDefault="005245CB" w:rsidP="00735113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الجمع</w:t>
            </w:r>
          </w:p>
        </w:tc>
      </w:tr>
      <w:tr w:rsidR="005245CB" w:rsidTr="00735113">
        <w:tc>
          <w:tcPr>
            <w:tcW w:w="1736" w:type="dxa"/>
          </w:tcPr>
          <w:p w:rsidR="005245CB" w:rsidRPr="00735113" w:rsidRDefault="005245CB" w:rsidP="00735113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جاء القاضي (ضمة مقدرة)</w:t>
            </w:r>
          </w:p>
        </w:tc>
        <w:tc>
          <w:tcPr>
            <w:tcW w:w="1736" w:type="dxa"/>
          </w:tcPr>
          <w:p w:rsidR="005245CB" w:rsidRPr="00735113" w:rsidRDefault="005245CB" w:rsidP="00735113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جاءت الجواري (ضمة مقدرة)</w:t>
            </w:r>
          </w:p>
        </w:tc>
        <w:tc>
          <w:tcPr>
            <w:tcW w:w="1737" w:type="dxa"/>
          </w:tcPr>
          <w:p w:rsidR="005245CB" w:rsidRPr="00735113" w:rsidRDefault="005245CB" w:rsidP="00735113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رأيت القاضيَ (فتحة ظاهرة)</w:t>
            </w:r>
          </w:p>
        </w:tc>
        <w:tc>
          <w:tcPr>
            <w:tcW w:w="1737" w:type="dxa"/>
          </w:tcPr>
          <w:p w:rsidR="005245CB" w:rsidRPr="00735113" w:rsidRDefault="005245CB" w:rsidP="00735113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رأيت الجواريَ (فتحة ظاهرة)</w:t>
            </w:r>
          </w:p>
        </w:tc>
        <w:tc>
          <w:tcPr>
            <w:tcW w:w="1737" w:type="dxa"/>
          </w:tcPr>
          <w:p w:rsidR="005245CB" w:rsidRPr="00735113" w:rsidRDefault="005245CB" w:rsidP="00735113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مررت بالقاضي (كسرة مقدرة)</w:t>
            </w:r>
          </w:p>
        </w:tc>
        <w:tc>
          <w:tcPr>
            <w:tcW w:w="1737" w:type="dxa"/>
          </w:tcPr>
          <w:p w:rsidR="005245CB" w:rsidRPr="00735113" w:rsidRDefault="005245CB" w:rsidP="00735113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مررت بالجواري (كسرة مقدرة)</w:t>
            </w:r>
          </w:p>
        </w:tc>
      </w:tr>
      <w:tr w:rsidR="005245CB" w:rsidTr="00735113">
        <w:tc>
          <w:tcPr>
            <w:tcW w:w="10420" w:type="dxa"/>
            <w:gridSpan w:val="6"/>
          </w:tcPr>
          <w:p w:rsidR="005245CB" w:rsidRPr="00735113" w:rsidRDefault="005245CB" w:rsidP="00735113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استنتاج: يلاحظ أن المنقوص إذا دخلته أل أو أضيف, لا يوجد فرق بين نوعيه (المفرد والجمع) في طريقة الإعراب: فالرفع والجر بحركات مقدرة, والنصب بفتحة ظاهرة. </w:t>
            </w:r>
          </w:p>
        </w:tc>
      </w:tr>
    </w:tbl>
    <w:p w:rsidR="005245CB" w:rsidRDefault="005245CB" w:rsidP="00F174C6">
      <w:pPr>
        <w:jc w:val="lowKashida"/>
        <w:rPr>
          <w:rFonts w:cs="Traditional Arabic"/>
          <w:b/>
          <w:bCs/>
          <w:sz w:val="32"/>
          <w:szCs w:val="32"/>
          <w:rtl/>
        </w:rPr>
      </w:pPr>
    </w:p>
    <w:p w:rsidR="005245CB" w:rsidRDefault="005245CB" w:rsidP="00F174C6">
      <w:pPr>
        <w:jc w:val="lowKashida"/>
        <w:rPr>
          <w:rFonts w:ascii="Andalus" w:hAnsi="Andalus" w:cs="Andalus"/>
          <w:b/>
          <w:bCs/>
          <w:sz w:val="36"/>
          <w:szCs w:val="36"/>
          <w:rtl/>
        </w:rPr>
      </w:pPr>
    </w:p>
    <w:p w:rsidR="005245CB" w:rsidRDefault="005245CB" w:rsidP="00F174C6">
      <w:pPr>
        <w:jc w:val="lowKashida"/>
        <w:rPr>
          <w:rFonts w:ascii="Andalus" w:hAnsi="Andalus" w:cs="Andalus"/>
          <w:b/>
          <w:bCs/>
          <w:sz w:val="36"/>
          <w:szCs w:val="36"/>
          <w:rtl/>
        </w:rPr>
      </w:pPr>
    </w:p>
    <w:p w:rsidR="005245CB" w:rsidRDefault="005245CB" w:rsidP="00F174C6">
      <w:pPr>
        <w:jc w:val="lowKashida"/>
        <w:rPr>
          <w:rFonts w:ascii="Andalus" w:hAnsi="Andalus" w:cs="Andalus"/>
          <w:b/>
          <w:bCs/>
          <w:sz w:val="36"/>
          <w:szCs w:val="36"/>
          <w:rtl/>
        </w:rPr>
      </w:pPr>
      <w:r>
        <w:rPr>
          <w:rFonts w:ascii="Andalus" w:hAnsi="Andalus" w:cs="Andalus" w:hint="eastAsia"/>
          <w:b/>
          <w:bCs/>
          <w:sz w:val="36"/>
          <w:szCs w:val="36"/>
          <w:rtl/>
        </w:rPr>
        <w:t>ــــــــــــــــــــــــــــــــ</w:t>
      </w:r>
    </w:p>
    <w:p w:rsidR="005245CB" w:rsidRPr="00F174C6" w:rsidRDefault="005245CB" w:rsidP="00F174C6">
      <w:pPr>
        <w:jc w:val="lowKashida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* المقصود بصيغة منتهى الجموع: كل جمع أ</w:t>
      </w:r>
      <w:r>
        <w:rPr>
          <w:rFonts w:ascii="Traditional Arabic" w:hAnsi="Traditional Arabic" w:cs="Traditional Arabic" w:hint="eastAsia"/>
          <w:b/>
          <w:bCs/>
          <w:sz w:val="28"/>
          <w:szCs w:val="28"/>
          <w:rtl/>
        </w:rPr>
        <w:t>تى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بعد ألف تكسيره حرفان مثل (مساجد) (النوادي), أو ثلاثة أوسطها ساكن مث</w:t>
      </w:r>
      <w:r>
        <w:rPr>
          <w:rFonts w:ascii="Traditional Arabic" w:hAnsi="Traditional Arabic" w:cs="Traditional Arabic" w:hint="eastAsia"/>
          <w:b/>
          <w:bCs/>
          <w:sz w:val="28"/>
          <w:szCs w:val="28"/>
          <w:rtl/>
        </w:rPr>
        <w:t>ل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: (مفاتيح).</w:t>
      </w:r>
    </w:p>
    <w:p w:rsidR="005245CB" w:rsidRDefault="005245CB" w:rsidP="00F174C6">
      <w:pPr>
        <w:jc w:val="lowKashida"/>
        <w:rPr>
          <w:rFonts w:cs="Traditional Arabic"/>
          <w:b/>
          <w:bCs/>
          <w:sz w:val="32"/>
          <w:szCs w:val="32"/>
          <w:rtl/>
        </w:rPr>
      </w:pPr>
      <w:r w:rsidRPr="006249D8">
        <w:rPr>
          <w:rFonts w:ascii="Andalus" w:hAnsi="Andalus" w:cs="Andalus" w:hint="eastAsia"/>
          <w:b/>
          <w:bCs/>
          <w:sz w:val="36"/>
          <w:szCs w:val="36"/>
          <w:rtl/>
        </w:rPr>
        <w:lastRenderedPageBreak/>
        <w:t>ثانيًا</w:t>
      </w:r>
      <w:r>
        <w:rPr>
          <w:rFonts w:cs="Traditional Arabic"/>
          <w:b/>
          <w:bCs/>
          <w:sz w:val="32"/>
          <w:szCs w:val="32"/>
          <w:rtl/>
        </w:rPr>
        <w:t xml:space="preserve">: أ- تحذف ياء المنقوص بنوعيه (المفرد والجمع) إذا تجرد من أل والإضافة, وذلك في حالتي الرفع والجر فقط. </w:t>
      </w:r>
    </w:p>
    <w:p w:rsidR="005245CB" w:rsidRDefault="005245CB" w:rsidP="00F174C6">
      <w:pPr>
        <w:jc w:val="lowKashida"/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/>
          <w:b/>
          <w:bCs/>
          <w:sz w:val="32"/>
          <w:szCs w:val="32"/>
          <w:rtl/>
        </w:rPr>
        <w:t xml:space="preserve">  أما في حال النصب فتثبت ياء المنقوص في النوعين.</w:t>
      </w:r>
    </w:p>
    <w:p w:rsidR="005245CB" w:rsidRDefault="005245CB" w:rsidP="00F174C6">
      <w:pPr>
        <w:jc w:val="lowKashida"/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/>
          <w:b/>
          <w:bCs/>
          <w:sz w:val="32"/>
          <w:szCs w:val="32"/>
          <w:rtl/>
        </w:rPr>
        <w:t xml:space="preserve">         ب- وفي هذه الحال </w:t>
      </w:r>
      <w:r w:rsidRPr="009F37F2">
        <w:rPr>
          <w:rFonts w:cs="Traditional Arabic"/>
          <w:b/>
          <w:bCs/>
          <w:sz w:val="32"/>
          <w:szCs w:val="32"/>
          <w:u w:val="single"/>
          <w:rtl/>
        </w:rPr>
        <w:t>يرفع</w:t>
      </w:r>
      <w:r>
        <w:rPr>
          <w:rFonts w:cs="Traditional Arabic"/>
          <w:b/>
          <w:bCs/>
          <w:sz w:val="32"/>
          <w:szCs w:val="32"/>
          <w:rtl/>
        </w:rPr>
        <w:t xml:space="preserve"> المنقوص </w:t>
      </w:r>
      <w:r w:rsidRPr="009F37F2">
        <w:rPr>
          <w:rFonts w:cs="Traditional Arabic"/>
          <w:b/>
          <w:bCs/>
          <w:sz w:val="32"/>
          <w:szCs w:val="32"/>
          <w:u w:val="single"/>
          <w:rtl/>
        </w:rPr>
        <w:t>ويجر</w:t>
      </w:r>
      <w:r>
        <w:rPr>
          <w:rFonts w:cs="Traditional Arabic"/>
          <w:b/>
          <w:bCs/>
          <w:sz w:val="32"/>
          <w:szCs w:val="32"/>
          <w:rtl/>
        </w:rPr>
        <w:t xml:space="preserve"> بنوعيه بحركات مقدرة على الياء المحذوفة (ضمة مقدرة على الياء المحذوفة, كسرة مقدرة على الياء المحذوفة) مع وضع تنوين الكسر.</w:t>
      </w:r>
    </w:p>
    <w:p w:rsidR="005245CB" w:rsidRDefault="005245CB" w:rsidP="00F174C6">
      <w:pPr>
        <w:jc w:val="lowKashida"/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/>
          <w:b/>
          <w:bCs/>
          <w:sz w:val="32"/>
          <w:szCs w:val="32"/>
          <w:rtl/>
        </w:rPr>
        <w:t xml:space="preserve">أما في حال النصب فينصب بفتحة ظاهرة, </w:t>
      </w:r>
      <w:r w:rsidRPr="000A010A">
        <w:rPr>
          <w:rFonts w:cs="Traditional Arabic"/>
          <w:b/>
          <w:bCs/>
          <w:sz w:val="32"/>
          <w:szCs w:val="32"/>
          <w:u w:val="single"/>
          <w:rtl/>
        </w:rPr>
        <w:t>مع وجود فارق مهم بين المفرد والجمع,</w:t>
      </w:r>
      <w:r>
        <w:rPr>
          <w:rFonts w:cs="Traditional Arabic"/>
          <w:b/>
          <w:bCs/>
          <w:sz w:val="32"/>
          <w:szCs w:val="32"/>
          <w:rtl/>
        </w:rPr>
        <w:t xml:space="preserve"> فالمفرد ينصب بفتحة ظاهرة مع التنوين لأنه منصرف, أما الجمع فينصب بفتحة ظاهرة بدون تنوين, أي توضع عليه فتحة واحدة فقط لأنه ممنوع من الصرف (تذكير: صيغة منتهى الجموع ممنوعة من الصرف). والجدول الآتي يبين طريقة الإعراب في النوعين: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5"/>
        <w:gridCol w:w="1540"/>
        <w:gridCol w:w="1586"/>
        <w:gridCol w:w="1586"/>
        <w:gridCol w:w="1542"/>
        <w:gridCol w:w="1542"/>
      </w:tblGrid>
      <w:tr w:rsidR="005245CB" w:rsidTr="00735113">
        <w:tc>
          <w:tcPr>
            <w:tcW w:w="3472" w:type="dxa"/>
            <w:gridSpan w:val="2"/>
          </w:tcPr>
          <w:p w:rsidR="005245CB" w:rsidRPr="00735113" w:rsidRDefault="005245CB" w:rsidP="00735113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الرفع</w:t>
            </w:r>
          </w:p>
        </w:tc>
        <w:tc>
          <w:tcPr>
            <w:tcW w:w="3474" w:type="dxa"/>
            <w:gridSpan w:val="2"/>
          </w:tcPr>
          <w:p w:rsidR="005245CB" w:rsidRPr="00735113" w:rsidRDefault="005245CB" w:rsidP="00735113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النصب</w:t>
            </w:r>
          </w:p>
        </w:tc>
        <w:tc>
          <w:tcPr>
            <w:tcW w:w="3474" w:type="dxa"/>
            <w:gridSpan w:val="2"/>
          </w:tcPr>
          <w:p w:rsidR="005245CB" w:rsidRPr="00735113" w:rsidRDefault="005245CB" w:rsidP="00735113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الجر</w:t>
            </w:r>
          </w:p>
        </w:tc>
      </w:tr>
      <w:tr w:rsidR="005245CB" w:rsidTr="00735113">
        <w:tc>
          <w:tcPr>
            <w:tcW w:w="1736" w:type="dxa"/>
          </w:tcPr>
          <w:p w:rsidR="005245CB" w:rsidRPr="00735113" w:rsidRDefault="005245CB" w:rsidP="00735113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المفرد</w:t>
            </w:r>
          </w:p>
        </w:tc>
        <w:tc>
          <w:tcPr>
            <w:tcW w:w="1736" w:type="dxa"/>
          </w:tcPr>
          <w:p w:rsidR="005245CB" w:rsidRPr="00735113" w:rsidRDefault="005245CB" w:rsidP="00735113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الجمع</w:t>
            </w:r>
          </w:p>
        </w:tc>
        <w:tc>
          <w:tcPr>
            <w:tcW w:w="1737" w:type="dxa"/>
          </w:tcPr>
          <w:p w:rsidR="005245CB" w:rsidRPr="00735113" w:rsidRDefault="005245CB" w:rsidP="00735113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المفرد</w:t>
            </w:r>
          </w:p>
        </w:tc>
        <w:tc>
          <w:tcPr>
            <w:tcW w:w="1737" w:type="dxa"/>
          </w:tcPr>
          <w:p w:rsidR="005245CB" w:rsidRPr="00735113" w:rsidRDefault="005245CB" w:rsidP="00735113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الجمع</w:t>
            </w:r>
          </w:p>
        </w:tc>
        <w:tc>
          <w:tcPr>
            <w:tcW w:w="1737" w:type="dxa"/>
          </w:tcPr>
          <w:p w:rsidR="005245CB" w:rsidRPr="00735113" w:rsidRDefault="005245CB" w:rsidP="00735113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المفرد</w:t>
            </w:r>
          </w:p>
        </w:tc>
        <w:tc>
          <w:tcPr>
            <w:tcW w:w="1737" w:type="dxa"/>
          </w:tcPr>
          <w:p w:rsidR="005245CB" w:rsidRPr="00735113" w:rsidRDefault="005245CB" w:rsidP="00735113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الجمع</w:t>
            </w:r>
          </w:p>
        </w:tc>
      </w:tr>
      <w:tr w:rsidR="005245CB" w:rsidTr="00735113">
        <w:tc>
          <w:tcPr>
            <w:tcW w:w="1736" w:type="dxa"/>
          </w:tcPr>
          <w:p w:rsidR="005245CB" w:rsidRPr="00735113" w:rsidRDefault="005245CB" w:rsidP="00735113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هذا قاضٍ</w:t>
            </w:r>
          </w:p>
        </w:tc>
        <w:tc>
          <w:tcPr>
            <w:tcW w:w="1736" w:type="dxa"/>
          </w:tcPr>
          <w:p w:rsidR="005245CB" w:rsidRPr="00735113" w:rsidRDefault="005245CB" w:rsidP="00735113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هذه جوارٍ</w:t>
            </w:r>
          </w:p>
        </w:tc>
        <w:tc>
          <w:tcPr>
            <w:tcW w:w="1737" w:type="dxa"/>
          </w:tcPr>
          <w:p w:rsidR="005245CB" w:rsidRPr="00735113" w:rsidRDefault="005245CB" w:rsidP="00735113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رأيت قاضيًا</w:t>
            </w:r>
          </w:p>
        </w:tc>
        <w:tc>
          <w:tcPr>
            <w:tcW w:w="1737" w:type="dxa"/>
          </w:tcPr>
          <w:p w:rsidR="005245CB" w:rsidRPr="00735113" w:rsidRDefault="005245CB" w:rsidP="00735113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رأيت جواريَ</w:t>
            </w:r>
          </w:p>
        </w:tc>
        <w:tc>
          <w:tcPr>
            <w:tcW w:w="1737" w:type="dxa"/>
          </w:tcPr>
          <w:p w:rsidR="005245CB" w:rsidRPr="00735113" w:rsidRDefault="005245CB" w:rsidP="00735113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مررت بقاضٍ</w:t>
            </w:r>
          </w:p>
        </w:tc>
        <w:tc>
          <w:tcPr>
            <w:tcW w:w="1737" w:type="dxa"/>
          </w:tcPr>
          <w:p w:rsidR="005245CB" w:rsidRPr="00735113" w:rsidRDefault="005245CB" w:rsidP="00735113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مررت بجوارٍ</w:t>
            </w:r>
          </w:p>
        </w:tc>
      </w:tr>
      <w:tr w:rsidR="005245CB" w:rsidTr="00735113">
        <w:tc>
          <w:tcPr>
            <w:tcW w:w="3472" w:type="dxa"/>
            <w:gridSpan w:val="2"/>
          </w:tcPr>
          <w:p w:rsidR="005245CB" w:rsidRPr="00735113" w:rsidRDefault="005245CB" w:rsidP="00735113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يلاحظ هنا أنه لا يوجد فرق بينهما:</w:t>
            </w:r>
          </w:p>
          <w:p w:rsidR="005245CB" w:rsidRPr="00735113" w:rsidRDefault="005245CB" w:rsidP="00735113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الياء محذوفة من كليهما, مع وجود تنوين (كسرتين)</w:t>
            </w:r>
          </w:p>
        </w:tc>
        <w:tc>
          <w:tcPr>
            <w:tcW w:w="3474" w:type="dxa"/>
            <w:gridSpan w:val="2"/>
          </w:tcPr>
          <w:p w:rsidR="005245CB" w:rsidRPr="00735113" w:rsidRDefault="005245CB" w:rsidP="00735113">
            <w:pPr>
              <w:numPr>
                <w:ilvl w:val="0"/>
                <w:numId w:val="1"/>
              </w:numPr>
              <w:jc w:val="lowKashida"/>
              <w:rPr>
                <w:rFonts w:cs="Traditional Arabic"/>
                <w:b/>
                <w:bCs/>
                <w:sz w:val="32"/>
                <w:szCs w:val="32"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يلاحظ هنا أنهما متشابهان في أمرين: 1- ثبوت الياء     </w:t>
            </w:r>
          </w:p>
          <w:p w:rsidR="005245CB" w:rsidRPr="00735113" w:rsidRDefault="005245CB" w:rsidP="00735113">
            <w:pPr>
              <w:ind w:left="360"/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            2- الفتحة ظاهرة</w:t>
            </w:r>
          </w:p>
          <w:p w:rsidR="005245CB" w:rsidRPr="00735113" w:rsidRDefault="005245CB" w:rsidP="00735113">
            <w:pPr>
              <w:ind w:left="360"/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-ومختلفان في أن المفرد منون, والجمع غير منون</w:t>
            </w:r>
          </w:p>
          <w:p w:rsidR="005245CB" w:rsidRPr="00735113" w:rsidRDefault="005245CB" w:rsidP="00735113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474" w:type="dxa"/>
            <w:gridSpan w:val="2"/>
          </w:tcPr>
          <w:p w:rsidR="005245CB" w:rsidRPr="00735113" w:rsidRDefault="005245CB" w:rsidP="00735113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735113">
              <w:rPr>
                <w:rFonts w:cs="Traditional Arabic"/>
                <w:b/>
                <w:bCs/>
                <w:sz w:val="32"/>
                <w:szCs w:val="32"/>
                <w:rtl/>
              </w:rPr>
              <w:t>يلاحظ هنا أنه لا يوجد فرق بينهما كحالة الرفع تمامًا.</w:t>
            </w:r>
          </w:p>
        </w:tc>
      </w:tr>
    </w:tbl>
    <w:p w:rsidR="005245CB" w:rsidRDefault="005245CB" w:rsidP="00F174C6">
      <w:pPr>
        <w:jc w:val="lowKashida"/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/>
          <w:b/>
          <w:bCs/>
          <w:sz w:val="32"/>
          <w:szCs w:val="32"/>
          <w:rtl/>
        </w:rPr>
        <w:t xml:space="preserve"> </w:t>
      </w:r>
    </w:p>
    <w:p w:rsidR="005245CB" w:rsidRDefault="005245CB" w:rsidP="00F174C6">
      <w:pPr>
        <w:ind w:left="-766" w:firstLine="766"/>
        <w:rPr>
          <w:rtl/>
        </w:rPr>
      </w:pPr>
    </w:p>
    <w:p w:rsidR="005245CB" w:rsidRDefault="005245CB" w:rsidP="00F174C6">
      <w:pPr>
        <w:ind w:left="-766" w:firstLine="766"/>
        <w:rPr>
          <w:rtl/>
        </w:rPr>
      </w:pPr>
    </w:p>
    <w:p w:rsidR="005245CB" w:rsidRDefault="005245CB" w:rsidP="00F174C6">
      <w:pPr>
        <w:ind w:left="-766" w:firstLine="766"/>
        <w:rPr>
          <w:rtl/>
        </w:rPr>
      </w:pPr>
    </w:p>
    <w:p w:rsidR="005245CB" w:rsidRDefault="005245CB" w:rsidP="00F174C6">
      <w:pPr>
        <w:ind w:left="-766" w:firstLine="766"/>
        <w:rPr>
          <w:rtl/>
        </w:rPr>
      </w:pPr>
    </w:p>
    <w:p w:rsidR="005245CB" w:rsidRDefault="005245CB" w:rsidP="00F174C6">
      <w:pPr>
        <w:ind w:left="-766" w:firstLine="766"/>
        <w:rPr>
          <w:rtl/>
        </w:rPr>
      </w:pPr>
    </w:p>
    <w:p w:rsidR="005245CB" w:rsidRDefault="005245CB" w:rsidP="00F174C6">
      <w:pPr>
        <w:ind w:left="-766" w:firstLine="766"/>
        <w:rPr>
          <w:rtl/>
        </w:rPr>
      </w:pPr>
    </w:p>
    <w:p w:rsidR="005245CB" w:rsidRDefault="005245CB" w:rsidP="00F174C6">
      <w:pPr>
        <w:ind w:left="-766" w:firstLine="766"/>
        <w:rPr>
          <w:rtl/>
        </w:rPr>
      </w:pPr>
    </w:p>
    <w:p w:rsidR="005245CB" w:rsidRDefault="005245CB" w:rsidP="00F174C6">
      <w:pPr>
        <w:ind w:left="-766" w:firstLine="766"/>
        <w:rPr>
          <w:rtl/>
        </w:rPr>
      </w:pPr>
    </w:p>
    <w:p w:rsidR="005245CB" w:rsidRDefault="005245CB" w:rsidP="00F174C6">
      <w:pPr>
        <w:ind w:left="-766" w:firstLine="766"/>
        <w:rPr>
          <w:rtl/>
        </w:rPr>
      </w:pPr>
    </w:p>
    <w:p w:rsidR="005245CB" w:rsidRDefault="005245CB" w:rsidP="00F174C6">
      <w:pPr>
        <w:ind w:left="-766" w:firstLine="766"/>
        <w:rPr>
          <w:rtl/>
        </w:rPr>
      </w:pPr>
    </w:p>
    <w:p w:rsidR="005245CB" w:rsidRDefault="005245CB" w:rsidP="00F174C6">
      <w:pPr>
        <w:ind w:left="-766" w:firstLine="766"/>
        <w:rPr>
          <w:rtl/>
        </w:rPr>
      </w:pPr>
    </w:p>
    <w:p w:rsidR="005245CB" w:rsidRDefault="005245CB" w:rsidP="00F174C6">
      <w:pPr>
        <w:ind w:left="-766" w:firstLine="766"/>
        <w:rPr>
          <w:rtl/>
        </w:rPr>
      </w:pPr>
    </w:p>
    <w:p w:rsidR="005245CB" w:rsidRDefault="005245CB" w:rsidP="00F174C6">
      <w:pPr>
        <w:ind w:left="-766" w:firstLine="766"/>
        <w:rPr>
          <w:rtl/>
        </w:rPr>
      </w:pPr>
    </w:p>
    <w:p w:rsidR="005245CB" w:rsidRDefault="005245CB" w:rsidP="00F174C6">
      <w:pPr>
        <w:ind w:left="-766" w:firstLine="766"/>
        <w:rPr>
          <w:rtl/>
        </w:rPr>
      </w:pPr>
    </w:p>
    <w:p w:rsidR="005245CB" w:rsidRDefault="005245CB" w:rsidP="00F174C6">
      <w:pPr>
        <w:ind w:left="-766" w:firstLine="766"/>
        <w:rPr>
          <w:rtl/>
        </w:rPr>
      </w:pPr>
    </w:p>
    <w:p w:rsidR="005245CB" w:rsidRDefault="005245CB" w:rsidP="00F174C6">
      <w:pPr>
        <w:ind w:left="-766" w:firstLine="766"/>
        <w:rPr>
          <w:rtl/>
        </w:rPr>
      </w:pPr>
    </w:p>
    <w:sectPr w:rsidR="005245CB" w:rsidSect="00F174C6">
      <w:pgSz w:w="11906" w:h="16838"/>
      <w:pgMar w:top="1440" w:right="991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A7222"/>
    <w:multiLevelType w:val="hybridMultilevel"/>
    <w:tmpl w:val="E3FCCF98"/>
    <w:lvl w:ilvl="0" w:tplc="3B56D93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aditional Arabic" w:eastAsia="Times New Roman" w:hAnsi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F174C6"/>
    <w:rsid w:val="000A010A"/>
    <w:rsid w:val="000B26D5"/>
    <w:rsid w:val="000C4AEF"/>
    <w:rsid w:val="000E1E9B"/>
    <w:rsid w:val="000F08C0"/>
    <w:rsid w:val="001147AC"/>
    <w:rsid w:val="0014626A"/>
    <w:rsid w:val="001C4552"/>
    <w:rsid w:val="00254046"/>
    <w:rsid w:val="00383DCE"/>
    <w:rsid w:val="003B00F9"/>
    <w:rsid w:val="004026D6"/>
    <w:rsid w:val="00426CA3"/>
    <w:rsid w:val="004443E8"/>
    <w:rsid w:val="00464CAD"/>
    <w:rsid w:val="004C3901"/>
    <w:rsid w:val="00520398"/>
    <w:rsid w:val="005245CB"/>
    <w:rsid w:val="005D1260"/>
    <w:rsid w:val="005F09BD"/>
    <w:rsid w:val="006249D8"/>
    <w:rsid w:val="00645307"/>
    <w:rsid w:val="00735113"/>
    <w:rsid w:val="00761BB5"/>
    <w:rsid w:val="00830EF5"/>
    <w:rsid w:val="0084123E"/>
    <w:rsid w:val="008760FF"/>
    <w:rsid w:val="008A7B5E"/>
    <w:rsid w:val="00952439"/>
    <w:rsid w:val="00975250"/>
    <w:rsid w:val="009A6112"/>
    <w:rsid w:val="009D3D60"/>
    <w:rsid w:val="009F37F2"/>
    <w:rsid w:val="00A45135"/>
    <w:rsid w:val="00AB3F56"/>
    <w:rsid w:val="00AF01F7"/>
    <w:rsid w:val="00B71F51"/>
    <w:rsid w:val="00C02AFD"/>
    <w:rsid w:val="00C653C3"/>
    <w:rsid w:val="00D508D7"/>
    <w:rsid w:val="00D71C92"/>
    <w:rsid w:val="00DB6B32"/>
    <w:rsid w:val="00E0606D"/>
    <w:rsid w:val="00E2523C"/>
    <w:rsid w:val="00E33CED"/>
    <w:rsid w:val="00E634AC"/>
    <w:rsid w:val="00EF3D67"/>
    <w:rsid w:val="00F174C6"/>
    <w:rsid w:val="00F80B05"/>
    <w:rsid w:val="00FD2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4C6"/>
    <w:pPr>
      <w:bidi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174C6"/>
    <w:pPr>
      <w:bidi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rsid w:val="00F174C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340</Words>
  <Characters>1939</Characters>
  <Application>Microsoft Office Word</Application>
  <DocSecurity>0</DocSecurity>
  <Lines>16</Lines>
  <Paragraphs>4</Paragraphs>
  <ScaleCrop>false</ScaleCrop>
  <Company>Hewlett-Packard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قضايا الاسم المنقوص</dc:title>
  <dc:creator>compaq M 26.2.10</dc:creator>
  <cp:lastModifiedBy>Asma</cp:lastModifiedBy>
  <cp:revision>2</cp:revision>
  <cp:lastPrinted>2012-09-16T19:54:00Z</cp:lastPrinted>
  <dcterms:created xsi:type="dcterms:W3CDTF">2017-02-25T16:11:00Z</dcterms:created>
  <dcterms:modified xsi:type="dcterms:W3CDTF">2017-02-25T16:11:00Z</dcterms:modified>
</cp:coreProperties>
</file>