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"/>
        <w:tblW w:w="0" w:type="auto"/>
        <w:tblLook w:val="04A0"/>
      </w:tblPr>
      <w:tblGrid>
        <w:gridCol w:w="8522"/>
      </w:tblGrid>
      <w:tr w:rsidR="00BA6931" w:rsidRPr="00BA6931" w:rsidTr="00BA6931">
        <w:trPr>
          <w:cnfStyle w:val="1000000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إرشادات تصميم البرمجيات التعليمية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تتصف البرمجيات التعليمة الجيدة بخصائص و مواصفات تتناسب و الأهداف التربوية المرغوب تحقيقها لدى فئة الطلبة المستهدفة نقدمها فيما يلي في صورة إرشادات ينبغي أتباعها عند تصميم البرمجية التعليمية، و هي على النحو التالي: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 وضوح العنوان: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يجب أن تبدأ البرمجية بعرض عنوان الدرس ليسهل على الطالب التعرف على الموضوع المراد تعلمه.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وضوح الأهداف التعليمية: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يجب أن تحتوي البرمجية على الأهداف السلوكية المراد تحقيقها و أن تكون مصاغة بوضوح و مرتبطة بالمادة العلمية التي تحتويها البرمجية.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وضوح التعليمات و الإرشادات: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التي يجب أن يتبعها المتعلم لاستخدام البرمجية التعليمية و ذلك بأن يكون هناك تفسير للرموز و المفاتيح المستخدمة في البرمجية إن وجدت.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 مراعاة الفروق الفردية للمتعلمين:</w:t>
            </w:r>
            <w:r w:rsidRPr="00BA6931">
              <w:rPr>
                <w:rFonts w:ascii="Sakkal Majalla" w:eastAsia="Times New Roman" w:hAnsi="Sakkal Majalla" w:cs="Sakkal Majalla"/>
                <w:color w:val="1F497D" w:themeColor="text2"/>
                <w:szCs w:val="27"/>
                <w:rtl/>
              </w:rPr>
              <w:t> 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و يتم ذلك من خلال مراعاة خصائص المتعلمين المقدمة لهم هذه البرمجية و يكون هذا في مرحلة التحليل أحدى مراحل تصميم البرمجية التعليمية.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تشويق المتعلم و مشاركته: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يجب أن تحتوي البرمجية على الوسائط المتعددة التي تجذب المتعلم  و تجعله متفاعل بنشاط أثناء عملية التعلم.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الابتعاد عن الحشو اللغوي الذي يؤدي إلى الملل: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يجب أن تكتب المادة التعليمية بوضوح و دون تكرار و بأسلوب شيق بعيداً عن الرتابة و الملل.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تفعيل دور الطالب: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يجب أن يكون دور الطالب بارز و كبير من خلال ما تحويه من اختبارات و تدريبات و أنشطه و عرض بعض المثيرات التي تشجع الطالب على قراءة المادة التعليمية المعروضة.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 تنوع الاختبارات و التدريبات: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 يجب أن تحتوي البرمجية على أنواع مختلفة من الاختبارات التي تناسب أهداف البرمجية.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التحكم بالشاشة: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من خصائص البرمجيات التعليمية الجيدة أن يتحكم الطالب بالبرمجية من حيث الانتقال من شاشة إلى أخرى حسب رغبته أو الخروج من البرمجية متى أراد ذلك.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التغذية الراجعة: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يجب أن توفر البرمجية التعليمية الجيدة تغذية راجعة فورية للمتعلم سواء كانت إجابته صحيحة أو خاطئة.</w:t>
            </w:r>
          </w:p>
        </w:tc>
      </w:tr>
      <w:tr w:rsidR="00BA6931" w:rsidRPr="00BA6931" w:rsidTr="00BA6931"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التعزيز:</w:t>
            </w:r>
          </w:p>
        </w:tc>
      </w:tr>
      <w:tr w:rsidR="00BA6931" w:rsidRPr="00BA6931" w:rsidTr="00BA6931">
        <w:trPr>
          <w:cnfStyle w:val="000000100000"/>
        </w:trPr>
        <w:tc>
          <w:tcPr>
            <w:cnfStyle w:val="001000000000"/>
            <w:tcW w:w="10410" w:type="dxa"/>
            <w:hideMark/>
          </w:tcPr>
          <w:p w:rsidR="00BA6931" w:rsidRPr="00BA6931" w:rsidRDefault="00BA6931" w:rsidP="00BA6931">
            <w:pPr>
              <w:rPr>
                <w:rFonts w:ascii="Sakkal Majalla" w:eastAsia="Times New Roman" w:hAnsi="Sakkal Majalla" w:cs="Sakkal Majalla"/>
                <w:color w:val="1F497D" w:themeColor="text2"/>
                <w:sz w:val="18"/>
                <w:szCs w:val="18"/>
              </w:rPr>
            </w:pPr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 xml:space="preserve"> يعد التعزيز شكلاً من أشكال التغذية الراجعة و يكون على شكل </w:t>
            </w:r>
            <w:proofErr w:type="spellStart"/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الفاظ</w:t>
            </w:r>
            <w:proofErr w:type="spellEnd"/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 xml:space="preserve"> ( صح ، </w:t>
            </w:r>
            <w:proofErr w:type="spellStart"/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>احسنت</w:t>
            </w:r>
            <w:proofErr w:type="spellEnd"/>
            <w:r w:rsidRPr="00BA6931">
              <w:rPr>
                <w:rFonts w:ascii="Sakkal Majalla" w:eastAsia="Times New Roman" w:hAnsi="Sakkal Majalla" w:cs="Sakkal Majalla"/>
                <w:color w:val="1F497D" w:themeColor="text2"/>
                <w:sz w:val="27"/>
                <w:szCs w:val="27"/>
                <w:rtl/>
              </w:rPr>
              <w:t xml:space="preserve"> ، ممتاز ...).</w:t>
            </w:r>
          </w:p>
        </w:tc>
      </w:tr>
    </w:tbl>
    <w:p w:rsidR="00BA6931" w:rsidRDefault="00BA6931">
      <w:pPr>
        <w:rPr>
          <w:rFonts w:hint="cs"/>
          <w:rtl/>
        </w:rPr>
      </w:pPr>
      <w:r>
        <w:rPr>
          <w:rFonts w:hint="cs"/>
          <w:rtl/>
        </w:rPr>
        <w:t xml:space="preserve">المصدر: </w:t>
      </w:r>
    </w:p>
    <w:p w:rsidR="00BA6931" w:rsidRDefault="00BA6931">
      <w:pPr>
        <w:rPr>
          <w:rFonts w:hint="cs"/>
          <w:rtl/>
        </w:rPr>
      </w:pPr>
      <w:r w:rsidRPr="00BA6931">
        <w:t>http://www.eclassgate.com</w:t>
      </w:r>
      <w:r w:rsidRPr="00BA6931">
        <w:rPr>
          <w:rFonts w:cs="Arial"/>
          <w:rtl/>
        </w:rPr>
        <w:t>/</w:t>
      </w:r>
    </w:p>
    <w:p w:rsidR="00BA6931" w:rsidRDefault="00BA6931">
      <w:pPr>
        <w:rPr>
          <w:rFonts w:hint="cs"/>
          <w:rtl/>
        </w:rPr>
      </w:pPr>
    </w:p>
    <w:p w:rsidR="00BA6931" w:rsidRPr="00BA6931" w:rsidRDefault="00BA6931"/>
    <w:sectPr w:rsidR="00BA6931" w:rsidRPr="00BA6931" w:rsidSect="008B6A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A6931"/>
    <w:rsid w:val="006557F2"/>
    <w:rsid w:val="008B6A83"/>
    <w:rsid w:val="00BA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F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6931"/>
  </w:style>
  <w:style w:type="table" w:styleId="a3">
    <w:name w:val="Light Shading"/>
    <w:basedOn w:val="a1"/>
    <w:uiPriority w:val="60"/>
    <w:rsid w:val="00BA69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BA693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2016-01-10T08:20:00Z</dcterms:created>
  <dcterms:modified xsi:type="dcterms:W3CDTF">2016-01-10T08:22:00Z</dcterms:modified>
</cp:coreProperties>
</file>