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E0" w:rsidRPr="00812BE0" w:rsidRDefault="00812BE0" w:rsidP="00812BE0">
      <w:pPr>
        <w:pStyle w:val="Default"/>
        <w:rPr>
          <w:sz w:val="28"/>
          <w:szCs w:val="28"/>
        </w:rPr>
      </w:pPr>
    </w:p>
    <w:p w:rsidR="00812BE0" w:rsidRPr="00812BE0" w:rsidRDefault="00812BE0" w:rsidP="00812BE0">
      <w:pPr>
        <w:pStyle w:val="CM6"/>
        <w:spacing w:after="231"/>
        <w:jc w:val="center"/>
        <w:rPr>
          <w:color w:val="000000"/>
          <w:sz w:val="32"/>
          <w:szCs w:val="32"/>
        </w:rPr>
      </w:pPr>
      <w:r w:rsidRPr="00812BE0">
        <w:rPr>
          <w:sz w:val="28"/>
          <w:szCs w:val="28"/>
        </w:rPr>
        <w:t xml:space="preserve"> </w:t>
      </w:r>
      <w:r w:rsidRPr="00812BE0">
        <w:rPr>
          <w:b/>
          <w:bCs/>
          <w:color w:val="000000"/>
          <w:sz w:val="32"/>
          <w:szCs w:val="32"/>
        </w:rPr>
        <w:t xml:space="preserve">Forming Complex Sentences with Subordinating Conjunctions </w:t>
      </w:r>
    </w:p>
    <w:p w:rsidR="00812BE0" w:rsidRPr="00812BE0" w:rsidRDefault="00812BE0" w:rsidP="00812BE0">
      <w:pPr>
        <w:pStyle w:val="CM2"/>
        <w:jc w:val="center"/>
        <w:rPr>
          <w:color w:val="000000"/>
        </w:rPr>
      </w:pPr>
      <w:r w:rsidRPr="00812BE0">
        <w:rPr>
          <w:b/>
          <w:bCs/>
          <w:color w:val="000000"/>
        </w:rPr>
        <w:t xml:space="preserve">Definitions </w:t>
      </w:r>
    </w:p>
    <w:p w:rsidR="00812BE0" w:rsidRPr="00812BE0" w:rsidRDefault="00812BE0" w:rsidP="00812BE0">
      <w:pPr>
        <w:pStyle w:val="CM7"/>
        <w:spacing w:after="225" w:line="231" w:lineRule="atLeast"/>
        <w:jc w:val="both"/>
        <w:rPr>
          <w:color w:val="000000"/>
        </w:rPr>
      </w:pPr>
      <w:r w:rsidRPr="00812BE0">
        <w:rPr>
          <w:color w:val="000000"/>
        </w:rPr>
        <w:t xml:space="preserve">Independent Clause: An independent clause is a group of words that contains a subject and a verb, expresses a complete thought, and can stand alone as a sentence. Dependent Clause: A dependent clause is a group of words that contains a subject and a verb, does </w:t>
      </w:r>
      <w:r w:rsidRPr="00812BE0">
        <w:rPr>
          <w:i/>
          <w:iCs/>
          <w:color w:val="000000"/>
        </w:rPr>
        <w:t xml:space="preserve">not </w:t>
      </w:r>
      <w:r w:rsidRPr="00812BE0">
        <w:rPr>
          <w:color w:val="000000"/>
        </w:rPr>
        <w:t>express a complete thought, and can</w:t>
      </w:r>
      <w:r w:rsidRPr="00812BE0">
        <w:rPr>
          <w:i/>
          <w:iCs/>
          <w:color w:val="000000"/>
        </w:rPr>
        <w:t xml:space="preserve">not </w:t>
      </w:r>
      <w:r w:rsidRPr="00812BE0">
        <w:rPr>
          <w:color w:val="000000"/>
        </w:rPr>
        <w:t xml:space="preserve">stand alone as a sentence. Complex Sentence: A complex sentence is a sentence that contains one independent clause and at least one dependent clause. Subordinate Clause: A dependent clause that begins with a subordinating conjunction. Since subordinate clauses are adverbial, they may appear at the beginning or end of a complex sentence. </w:t>
      </w:r>
    </w:p>
    <w:p w:rsidR="00812BE0" w:rsidRDefault="00812BE0" w:rsidP="00812BE0">
      <w:pPr>
        <w:pStyle w:val="CM2"/>
        <w:jc w:val="center"/>
        <w:rPr>
          <w:b/>
          <w:bCs/>
          <w:color w:val="000000"/>
        </w:rPr>
      </w:pPr>
      <w:r w:rsidRPr="00812BE0">
        <w:rPr>
          <w:b/>
          <w:bCs/>
          <w:color w:val="000000"/>
        </w:rPr>
        <w:t>Table of Subordinating Conjunctions</w:t>
      </w:r>
    </w:p>
    <w:tbl>
      <w:tblPr>
        <w:tblStyle w:val="a3"/>
        <w:tblW w:w="0" w:type="auto"/>
        <w:tblLook w:val="04A0"/>
      </w:tblPr>
      <w:tblGrid>
        <w:gridCol w:w="2376"/>
        <w:gridCol w:w="7139"/>
      </w:tblGrid>
      <w:tr w:rsidR="00812BE0" w:rsidRPr="00812BE0" w:rsidTr="00812BE0">
        <w:tc>
          <w:tcPr>
            <w:tcW w:w="2376" w:type="dxa"/>
          </w:tcPr>
          <w:p w:rsidR="00812BE0" w:rsidRPr="00812BE0" w:rsidRDefault="00812BE0" w:rsidP="00D04024">
            <w:pPr>
              <w:pStyle w:val="CM2"/>
              <w:jc w:val="center"/>
              <w:rPr>
                <w:b/>
                <w:bCs/>
                <w:color w:val="000000"/>
              </w:rPr>
            </w:pPr>
            <w:r w:rsidRPr="00812BE0">
              <w:t>Time</w:t>
            </w:r>
          </w:p>
        </w:tc>
        <w:tc>
          <w:tcPr>
            <w:tcW w:w="7139" w:type="dxa"/>
          </w:tcPr>
          <w:p w:rsidR="00812BE0" w:rsidRPr="00812BE0" w:rsidRDefault="00812BE0" w:rsidP="00D04024">
            <w:pPr>
              <w:pStyle w:val="CM2"/>
              <w:jc w:val="center"/>
              <w:rPr>
                <w:b/>
                <w:bCs/>
                <w:color w:val="000000"/>
              </w:rPr>
            </w:pPr>
            <w:r w:rsidRPr="00812BE0">
              <w:t>After, As, As soon as, Before, Once, Since, Until, When, While</w:t>
            </w:r>
          </w:p>
        </w:tc>
      </w:tr>
      <w:tr w:rsidR="00812BE0" w:rsidRPr="00812BE0" w:rsidTr="00812BE0">
        <w:tc>
          <w:tcPr>
            <w:tcW w:w="2376" w:type="dxa"/>
          </w:tcPr>
          <w:p w:rsidR="00812BE0" w:rsidRPr="00812BE0" w:rsidRDefault="00812BE0" w:rsidP="00D04024">
            <w:pPr>
              <w:pStyle w:val="CM2"/>
              <w:jc w:val="center"/>
            </w:pPr>
            <w:r w:rsidRPr="00812BE0">
              <w:t>Manner</w:t>
            </w:r>
          </w:p>
        </w:tc>
        <w:tc>
          <w:tcPr>
            <w:tcW w:w="7139" w:type="dxa"/>
          </w:tcPr>
          <w:p w:rsidR="00812BE0" w:rsidRPr="00812BE0" w:rsidRDefault="00812BE0" w:rsidP="00D04024">
            <w:pPr>
              <w:pStyle w:val="CM2"/>
              <w:jc w:val="center"/>
              <w:rPr>
                <w:b/>
                <w:bCs/>
                <w:color w:val="000000"/>
              </w:rPr>
            </w:pPr>
            <w:r w:rsidRPr="00812BE0">
              <w:t>As, As if, As though, Like</w:t>
            </w:r>
          </w:p>
        </w:tc>
      </w:tr>
      <w:tr w:rsidR="00812BE0" w:rsidRPr="00812BE0" w:rsidTr="00812BE0">
        <w:tc>
          <w:tcPr>
            <w:tcW w:w="2376" w:type="dxa"/>
          </w:tcPr>
          <w:p w:rsidR="00812BE0" w:rsidRPr="00812BE0" w:rsidRDefault="00812BE0" w:rsidP="00D04024">
            <w:pPr>
              <w:pStyle w:val="CM2"/>
              <w:jc w:val="center"/>
            </w:pPr>
            <w:r w:rsidRPr="00812BE0">
              <w:t>Cause and Effect</w:t>
            </w:r>
          </w:p>
        </w:tc>
        <w:tc>
          <w:tcPr>
            <w:tcW w:w="7139" w:type="dxa"/>
          </w:tcPr>
          <w:p w:rsidR="00812BE0" w:rsidRPr="00812BE0" w:rsidRDefault="00812BE0" w:rsidP="00D04024">
            <w:pPr>
              <w:pStyle w:val="CM2"/>
              <w:jc w:val="center"/>
              <w:rPr>
                <w:b/>
                <w:bCs/>
                <w:color w:val="000000"/>
              </w:rPr>
            </w:pPr>
            <w:r w:rsidRPr="00812BE0">
              <w:t>Although, Though, Whereas, While, Except, That</w:t>
            </w:r>
          </w:p>
        </w:tc>
      </w:tr>
      <w:tr w:rsidR="00812BE0" w:rsidRPr="00812BE0" w:rsidTr="00812BE0">
        <w:tc>
          <w:tcPr>
            <w:tcW w:w="2376" w:type="dxa"/>
          </w:tcPr>
          <w:p w:rsidR="00812BE0" w:rsidRPr="00812BE0" w:rsidRDefault="00812BE0" w:rsidP="00D04024">
            <w:pPr>
              <w:pStyle w:val="CM2"/>
              <w:jc w:val="center"/>
            </w:pPr>
            <w:r>
              <w:t>Cause</w:t>
            </w:r>
          </w:p>
        </w:tc>
        <w:tc>
          <w:tcPr>
            <w:tcW w:w="7139" w:type="dxa"/>
          </w:tcPr>
          <w:p w:rsidR="00812BE0" w:rsidRPr="00812BE0" w:rsidRDefault="00812BE0" w:rsidP="00D04024">
            <w:pPr>
              <w:pStyle w:val="CM2"/>
              <w:jc w:val="center"/>
              <w:rPr>
                <w:b/>
                <w:bCs/>
                <w:color w:val="000000"/>
              </w:rPr>
            </w:pPr>
            <w:r w:rsidRPr="00812BE0">
              <w:t>Because, In that, Now that, Since, So that</w:t>
            </w:r>
          </w:p>
        </w:tc>
      </w:tr>
      <w:tr w:rsidR="00812BE0" w:rsidRPr="00812BE0" w:rsidTr="00812BE0">
        <w:tc>
          <w:tcPr>
            <w:tcW w:w="2376" w:type="dxa"/>
          </w:tcPr>
          <w:p w:rsidR="00812BE0" w:rsidRPr="00812BE0" w:rsidRDefault="00812BE0" w:rsidP="00D04024">
            <w:pPr>
              <w:pStyle w:val="CM2"/>
              <w:jc w:val="center"/>
            </w:pPr>
            <w:r w:rsidRPr="00812BE0">
              <w:t>Condition</w:t>
            </w:r>
          </w:p>
        </w:tc>
        <w:tc>
          <w:tcPr>
            <w:tcW w:w="7139" w:type="dxa"/>
          </w:tcPr>
          <w:p w:rsidR="00812BE0" w:rsidRPr="00812BE0" w:rsidRDefault="00812BE0" w:rsidP="00D04024">
            <w:pPr>
              <w:pStyle w:val="CM2"/>
              <w:jc w:val="center"/>
              <w:rPr>
                <w:b/>
                <w:bCs/>
                <w:color w:val="000000"/>
              </w:rPr>
            </w:pPr>
            <w:r w:rsidRPr="00812BE0">
              <w:t>If, In case, Provided (that), Unless</w:t>
            </w:r>
          </w:p>
        </w:tc>
      </w:tr>
      <w:tr w:rsidR="00812BE0" w:rsidRPr="00812BE0" w:rsidTr="00812BE0">
        <w:tc>
          <w:tcPr>
            <w:tcW w:w="2376" w:type="dxa"/>
          </w:tcPr>
          <w:p w:rsidR="00812BE0" w:rsidRPr="00812BE0" w:rsidRDefault="00812BE0" w:rsidP="00D04024">
            <w:pPr>
              <w:pStyle w:val="CM2"/>
              <w:jc w:val="center"/>
            </w:pPr>
            <w:r w:rsidRPr="00812BE0">
              <w:t>Purpose</w:t>
            </w:r>
          </w:p>
        </w:tc>
        <w:tc>
          <w:tcPr>
            <w:tcW w:w="7139" w:type="dxa"/>
          </w:tcPr>
          <w:p w:rsidR="00812BE0" w:rsidRPr="00812BE0" w:rsidRDefault="00812BE0" w:rsidP="00D04024">
            <w:pPr>
              <w:pStyle w:val="CM2"/>
              <w:jc w:val="center"/>
              <w:rPr>
                <w:b/>
                <w:bCs/>
                <w:color w:val="000000"/>
              </w:rPr>
            </w:pPr>
            <w:r w:rsidRPr="00812BE0">
              <w:t>So that, In order that</w:t>
            </w:r>
          </w:p>
        </w:tc>
      </w:tr>
      <w:tr w:rsidR="00812BE0" w:rsidRPr="00812BE0" w:rsidTr="00812BE0">
        <w:tc>
          <w:tcPr>
            <w:tcW w:w="2376" w:type="dxa"/>
          </w:tcPr>
          <w:p w:rsidR="00812BE0" w:rsidRPr="00812BE0" w:rsidRDefault="00812BE0" w:rsidP="00D04024">
            <w:pPr>
              <w:pStyle w:val="CM2"/>
              <w:jc w:val="center"/>
            </w:pPr>
            <w:r w:rsidRPr="00812BE0">
              <w:t>Comparison</w:t>
            </w:r>
          </w:p>
        </w:tc>
        <w:tc>
          <w:tcPr>
            <w:tcW w:w="7139" w:type="dxa"/>
          </w:tcPr>
          <w:p w:rsidR="00812BE0" w:rsidRPr="00812BE0" w:rsidRDefault="00812BE0" w:rsidP="00D04024">
            <w:pPr>
              <w:pStyle w:val="CM2"/>
              <w:jc w:val="center"/>
              <w:rPr>
                <w:b/>
                <w:bCs/>
                <w:color w:val="000000"/>
              </w:rPr>
            </w:pPr>
            <w:r w:rsidRPr="00812BE0">
              <w:t>As…as, More than, Less than, Than</w:t>
            </w:r>
          </w:p>
        </w:tc>
      </w:tr>
    </w:tbl>
    <w:p w:rsidR="00812BE0" w:rsidRDefault="00812BE0" w:rsidP="00812BE0">
      <w:pPr>
        <w:pStyle w:val="CM2"/>
        <w:jc w:val="center"/>
        <w:rPr>
          <w:b/>
          <w:bCs/>
          <w:color w:val="000000"/>
        </w:rPr>
      </w:pPr>
    </w:p>
    <w:p w:rsidR="00812BE0" w:rsidRDefault="00812BE0" w:rsidP="00812BE0">
      <w:pPr>
        <w:pStyle w:val="CM2"/>
        <w:jc w:val="center"/>
        <w:rPr>
          <w:b/>
          <w:bCs/>
          <w:color w:val="000000"/>
        </w:rPr>
      </w:pPr>
      <w:r w:rsidRPr="00812BE0">
        <w:rPr>
          <w:b/>
          <w:bCs/>
          <w:color w:val="000000"/>
        </w:rPr>
        <w:t>Punctuating Complex Sentences with Subordinating Conjunctions</w:t>
      </w:r>
    </w:p>
    <w:p w:rsidR="00812BE0" w:rsidRPr="00812BE0" w:rsidRDefault="00812BE0" w:rsidP="00812BE0">
      <w:pPr>
        <w:pStyle w:val="CM2"/>
        <w:jc w:val="center"/>
        <w:rPr>
          <w:color w:val="000000"/>
        </w:rPr>
      </w:pPr>
      <w:r w:rsidRPr="00812BE0">
        <w:rPr>
          <w:b/>
          <w:bCs/>
          <w:color w:val="000000"/>
        </w:rPr>
        <w:t xml:space="preserve"> </w:t>
      </w:r>
    </w:p>
    <w:p w:rsidR="00812BE0" w:rsidRDefault="00812BE0" w:rsidP="00812BE0">
      <w:pPr>
        <w:pStyle w:val="Default"/>
        <w:spacing w:line="228" w:lineRule="atLeast"/>
        <w:ind w:right="532"/>
        <w:jc w:val="both"/>
      </w:pPr>
      <w:r w:rsidRPr="00812BE0">
        <w:t xml:space="preserve">If a subordinate clause appears at the beginning of a complex sentence, it must be separated from the independent clause by a comma. </w:t>
      </w:r>
    </w:p>
    <w:p w:rsidR="008D72C9" w:rsidRPr="00812BE0" w:rsidRDefault="008D72C9" w:rsidP="00812BE0">
      <w:pPr>
        <w:pStyle w:val="Default"/>
        <w:spacing w:line="228" w:lineRule="atLeast"/>
        <w:ind w:right="532"/>
        <w:jc w:val="both"/>
      </w:pPr>
    </w:p>
    <w:p w:rsidR="008D72C9" w:rsidRDefault="00812BE0" w:rsidP="008D72C9">
      <w:pPr>
        <w:pStyle w:val="CM4"/>
        <w:ind w:firstLine="720"/>
        <w:jc w:val="both"/>
        <w:rPr>
          <w:i/>
          <w:iCs/>
          <w:color w:val="000000"/>
        </w:rPr>
      </w:pPr>
      <w:r w:rsidRPr="00812BE0">
        <w:rPr>
          <w:color w:val="000000"/>
        </w:rPr>
        <w:t xml:space="preserve">Example: </w:t>
      </w:r>
      <w:r w:rsidRPr="00812BE0">
        <w:rPr>
          <w:i/>
          <w:iCs/>
          <w:color w:val="000000"/>
        </w:rPr>
        <w:t xml:space="preserve">After </w:t>
      </w:r>
      <w:r w:rsidR="008D72C9">
        <w:rPr>
          <w:i/>
          <w:iCs/>
          <w:color w:val="000000"/>
        </w:rPr>
        <w:t>he</w:t>
      </w:r>
      <w:r w:rsidRPr="00812BE0">
        <w:rPr>
          <w:i/>
          <w:iCs/>
          <w:color w:val="000000"/>
        </w:rPr>
        <w:t xml:space="preserve"> finished her homework, </w:t>
      </w:r>
      <w:proofErr w:type="spellStart"/>
      <w:r w:rsidR="008D72C9">
        <w:rPr>
          <w:i/>
          <w:iCs/>
          <w:color w:val="000000"/>
        </w:rPr>
        <w:t>Saad</w:t>
      </w:r>
      <w:proofErr w:type="spellEnd"/>
      <w:r w:rsidRPr="00812BE0">
        <w:rPr>
          <w:i/>
          <w:iCs/>
          <w:color w:val="000000"/>
        </w:rPr>
        <w:t xml:space="preserve"> went shopping.</w:t>
      </w:r>
    </w:p>
    <w:p w:rsidR="008D72C9" w:rsidRDefault="008D72C9" w:rsidP="008D72C9">
      <w:pPr>
        <w:pStyle w:val="CM4"/>
        <w:jc w:val="both"/>
        <w:rPr>
          <w:i/>
          <w:iCs/>
          <w:color w:val="000000"/>
        </w:rPr>
      </w:pPr>
    </w:p>
    <w:p w:rsidR="00812BE0" w:rsidRDefault="00812BE0" w:rsidP="008D72C9">
      <w:pPr>
        <w:pStyle w:val="CM4"/>
        <w:jc w:val="both"/>
        <w:rPr>
          <w:color w:val="000000"/>
        </w:rPr>
      </w:pPr>
      <w:r w:rsidRPr="00812BE0">
        <w:rPr>
          <w:i/>
          <w:iCs/>
          <w:color w:val="000000"/>
        </w:rPr>
        <w:t xml:space="preserve"> </w:t>
      </w:r>
      <w:r w:rsidRPr="00812BE0">
        <w:rPr>
          <w:color w:val="000000"/>
        </w:rPr>
        <w:t xml:space="preserve">In general, if a subordinate clause appears after the independent clause in a compound sentence, no comma is needed. </w:t>
      </w:r>
    </w:p>
    <w:p w:rsidR="008D72C9" w:rsidRPr="008D72C9" w:rsidRDefault="008D72C9" w:rsidP="008D72C9">
      <w:pPr>
        <w:pStyle w:val="Default"/>
      </w:pPr>
    </w:p>
    <w:p w:rsidR="008D72C9" w:rsidRDefault="00812BE0" w:rsidP="008D72C9">
      <w:pPr>
        <w:pStyle w:val="CM7"/>
        <w:spacing w:after="225" w:line="231" w:lineRule="atLeast"/>
        <w:ind w:firstLine="720"/>
        <w:jc w:val="both"/>
        <w:rPr>
          <w:color w:val="000000"/>
        </w:rPr>
      </w:pPr>
      <w:r w:rsidRPr="00812BE0">
        <w:rPr>
          <w:color w:val="000000"/>
        </w:rPr>
        <w:t xml:space="preserve">Example: </w:t>
      </w:r>
      <w:proofErr w:type="spellStart"/>
      <w:r w:rsidR="008D72C9">
        <w:rPr>
          <w:i/>
          <w:iCs/>
          <w:color w:val="000000"/>
        </w:rPr>
        <w:t>Saad</w:t>
      </w:r>
      <w:proofErr w:type="spellEnd"/>
      <w:r w:rsidR="008D72C9" w:rsidRPr="00812BE0">
        <w:rPr>
          <w:i/>
          <w:iCs/>
          <w:color w:val="000000"/>
        </w:rPr>
        <w:t xml:space="preserve"> </w:t>
      </w:r>
      <w:r w:rsidRPr="00812BE0">
        <w:rPr>
          <w:i/>
          <w:iCs/>
          <w:color w:val="000000"/>
        </w:rPr>
        <w:t xml:space="preserve">went shopping after </w:t>
      </w:r>
      <w:r w:rsidR="008D72C9">
        <w:rPr>
          <w:i/>
          <w:iCs/>
          <w:color w:val="000000"/>
        </w:rPr>
        <w:t>he</w:t>
      </w:r>
      <w:r w:rsidRPr="00812BE0">
        <w:rPr>
          <w:i/>
          <w:iCs/>
          <w:color w:val="000000"/>
        </w:rPr>
        <w:t xml:space="preserve"> finished her homework. </w:t>
      </w:r>
      <w:r w:rsidRPr="00812BE0">
        <w:rPr>
          <w:color w:val="000000"/>
        </w:rPr>
        <w:t xml:space="preserve">Note on punctuation: </w:t>
      </w:r>
    </w:p>
    <w:p w:rsidR="00812BE0" w:rsidRPr="00812BE0" w:rsidRDefault="00812BE0" w:rsidP="008D72C9">
      <w:pPr>
        <w:pStyle w:val="CM7"/>
        <w:spacing w:after="225" w:line="231" w:lineRule="atLeast"/>
        <w:ind w:firstLine="720"/>
        <w:jc w:val="both"/>
        <w:rPr>
          <w:color w:val="000000"/>
        </w:rPr>
      </w:pPr>
      <w:r w:rsidRPr="00812BE0">
        <w:rPr>
          <w:color w:val="000000"/>
        </w:rPr>
        <w:t xml:space="preserve">If the subordinating conjunction in a complex sentence is </w:t>
      </w:r>
      <w:r w:rsidRPr="00812BE0">
        <w:rPr>
          <w:i/>
          <w:iCs/>
          <w:color w:val="000000"/>
        </w:rPr>
        <w:t>whereas</w:t>
      </w:r>
      <w:r w:rsidRPr="00812BE0">
        <w:rPr>
          <w:color w:val="000000"/>
        </w:rPr>
        <w:t xml:space="preserve">, </w:t>
      </w:r>
      <w:r w:rsidRPr="00812BE0">
        <w:rPr>
          <w:i/>
          <w:iCs/>
          <w:color w:val="000000"/>
        </w:rPr>
        <w:t>though</w:t>
      </w:r>
      <w:r w:rsidRPr="00812BE0">
        <w:rPr>
          <w:color w:val="000000"/>
        </w:rPr>
        <w:t xml:space="preserve">, </w:t>
      </w:r>
      <w:r w:rsidRPr="00812BE0">
        <w:rPr>
          <w:i/>
          <w:iCs/>
          <w:color w:val="000000"/>
        </w:rPr>
        <w:t>although</w:t>
      </w:r>
      <w:r w:rsidRPr="00812BE0">
        <w:rPr>
          <w:color w:val="000000"/>
        </w:rPr>
        <w:t xml:space="preserve">, or </w:t>
      </w:r>
      <w:r w:rsidRPr="00812BE0">
        <w:rPr>
          <w:i/>
          <w:iCs/>
          <w:color w:val="000000"/>
        </w:rPr>
        <w:t>even though</w:t>
      </w:r>
      <w:r w:rsidRPr="00812BE0">
        <w:rPr>
          <w:color w:val="000000"/>
        </w:rPr>
        <w:t xml:space="preserve">, a comma is needed to show separation between the two clauses. </w:t>
      </w:r>
    </w:p>
    <w:p w:rsidR="00812BE0" w:rsidRPr="00812BE0" w:rsidRDefault="00812BE0" w:rsidP="00812BE0">
      <w:pPr>
        <w:pStyle w:val="CM1"/>
        <w:jc w:val="both"/>
        <w:rPr>
          <w:color w:val="000000"/>
          <w:sz w:val="27"/>
          <w:szCs w:val="27"/>
        </w:rPr>
      </w:pPr>
      <w:r w:rsidRPr="00812BE0">
        <w:rPr>
          <w:b/>
          <w:bCs/>
          <w:color w:val="000000"/>
          <w:sz w:val="27"/>
          <w:szCs w:val="27"/>
        </w:rPr>
        <w:t xml:space="preserve">Exercises </w:t>
      </w:r>
    </w:p>
    <w:p w:rsidR="00812BE0" w:rsidRPr="00812BE0" w:rsidRDefault="00812BE0" w:rsidP="008D72C9">
      <w:pPr>
        <w:pStyle w:val="CM7"/>
        <w:spacing w:after="225" w:line="231" w:lineRule="atLeast"/>
        <w:ind w:right="102"/>
        <w:jc w:val="both"/>
        <w:rPr>
          <w:color w:val="000000"/>
        </w:rPr>
      </w:pPr>
      <w:r w:rsidRPr="00812BE0">
        <w:rPr>
          <w:color w:val="000000"/>
        </w:rPr>
        <w:t xml:space="preserve">Without looking at the </w:t>
      </w:r>
      <w:r w:rsidR="008D72C9">
        <w:rPr>
          <w:color w:val="000000"/>
        </w:rPr>
        <w:t>previous</w:t>
      </w:r>
      <w:r w:rsidRPr="00812BE0">
        <w:rPr>
          <w:color w:val="000000"/>
        </w:rPr>
        <w:t xml:space="preserve"> table, identify the subordinating conjunctions in the following sentences and identify how they are functioning. Then rewrite the sentences by changing the order of the clauses and punctuate as needed. </w:t>
      </w:r>
    </w:p>
    <w:p w:rsidR="00812BE0" w:rsidRPr="00812BE0" w:rsidRDefault="008D72C9" w:rsidP="008D72C9">
      <w:pPr>
        <w:pStyle w:val="Default"/>
        <w:numPr>
          <w:ilvl w:val="0"/>
          <w:numId w:val="1"/>
        </w:numPr>
        <w:ind w:left="360" w:hanging="360"/>
        <w:jc w:val="both"/>
        <w:rPr>
          <w:color w:val="auto"/>
        </w:rPr>
      </w:pPr>
      <w:r>
        <w:rPr>
          <w:color w:val="auto"/>
        </w:rPr>
        <w:t>Sami</w:t>
      </w:r>
      <w:r w:rsidR="00812BE0" w:rsidRPr="00812BE0">
        <w:rPr>
          <w:color w:val="auto"/>
        </w:rPr>
        <w:t xml:space="preserve"> tried hard to finish </w:t>
      </w:r>
      <w:r>
        <w:rPr>
          <w:color w:val="auto"/>
        </w:rPr>
        <w:t xml:space="preserve">writing </w:t>
      </w:r>
      <w:r w:rsidR="00812BE0" w:rsidRPr="00812BE0">
        <w:rPr>
          <w:color w:val="auto"/>
        </w:rPr>
        <w:t xml:space="preserve">his </w:t>
      </w:r>
      <w:r>
        <w:rPr>
          <w:color w:val="auto"/>
        </w:rPr>
        <w:t>book</w:t>
      </w:r>
      <w:r w:rsidR="00812BE0" w:rsidRPr="00812BE0">
        <w:rPr>
          <w:color w:val="auto"/>
        </w:rPr>
        <w:t xml:space="preserve">, though it seemed an impossible task. </w:t>
      </w:r>
    </w:p>
    <w:p w:rsidR="00812BE0" w:rsidRPr="00812BE0" w:rsidRDefault="00812BE0" w:rsidP="00812BE0">
      <w:pPr>
        <w:pStyle w:val="Default"/>
        <w:numPr>
          <w:ilvl w:val="0"/>
          <w:numId w:val="1"/>
        </w:numPr>
        <w:ind w:left="360" w:hanging="360"/>
        <w:jc w:val="both"/>
        <w:rPr>
          <w:color w:val="auto"/>
        </w:rPr>
      </w:pPr>
      <w:r w:rsidRPr="00812BE0">
        <w:rPr>
          <w:color w:val="auto"/>
        </w:rPr>
        <w:t xml:space="preserve">I will pay you back as soon as I get the money. </w:t>
      </w:r>
    </w:p>
    <w:p w:rsidR="00812BE0" w:rsidRPr="00812BE0" w:rsidRDefault="00812BE0" w:rsidP="00812BE0">
      <w:pPr>
        <w:pStyle w:val="Default"/>
        <w:numPr>
          <w:ilvl w:val="0"/>
          <w:numId w:val="1"/>
        </w:numPr>
        <w:ind w:left="360" w:hanging="360"/>
        <w:jc w:val="both"/>
        <w:rPr>
          <w:color w:val="auto"/>
        </w:rPr>
      </w:pPr>
      <w:r w:rsidRPr="00812BE0">
        <w:rPr>
          <w:color w:val="auto"/>
        </w:rPr>
        <w:t xml:space="preserve">Until I started going to class regularly, I performed poorly on the weekly quizzes. </w:t>
      </w:r>
    </w:p>
    <w:p w:rsidR="00812BE0" w:rsidRPr="00812BE0" w:rsidRDefault="00812BE0" w:rsidP="008D72C9">
      <w:pPr>
        <w:pStyle w:val="Default"/>
        <w:numPr>
          <w:ilvl w:val="0"/>
          <w:numId w:val="1"/>
        </w:numPr>
        <w:ind w:left="360" w:hanging="360"/>
        <w:jc w:val="both"/>
        <w:rPr>
          <w:color w:val="auto"/>
        </w:rPr>
      </w:pPr>
      <w:r w:rsidRPr="00812BE0">
        <w:rPr>
          <w:color w:val="auto"/>
        </w:rPr>
        <w:t xml:space="preserve">Even though </w:t>
      </w:r>
      <w:r w:rsidR="008D72C9">
        <w:rPr>
          <w:color w:val="auto"/>
        </w:rPr>
        <w:t>he</w:t>
      </w:r>
      <w:r w:rsidRPr="00812BE0">
        <w:rPr>
          <w:color w:val="auto"/>
        </w:rPr>
        <w:t xml:space="preserve"> had a ten-page paper to write, </w:t>
      </w:r>
      <w:r w:rsidR="008D72C9">
        <w:rPr>
          <w:color w:val="auto"/>
        </w:rPr>
        <w:t>Sami</w:t>
      </w:r>
      <w:r w:rsidRPr="00812BE0">
        <w:rPr>
          <w:color w:val="auto"/>
        </w:rPr>
        <w:t xml:space="preserve"> went to the </w:t>
      </w:r>
      <w:r w:rsidR="008D72C9">
        <w:rPr>
          <w:color w:val="auto"/>
        </w:rPr>
        <w:t>picnic</w:t>
      </w:r>
      <w:r w:rsidRPr="00812BE0">
        <w:rPr>
          <w:color w:val="auto"/>
        </w:rPr>
        <w:t xml:space="preserve"> with friends. </w:t>
      </w:r>
    </w:p>
    <w:p w:rsidR="00812BE0" w:rsidRPr="00812BE0" w:rsidRDefault="00812BE0" w:rsidP="008D72C9">
      <w:pPr>
        <w:pStyle w:val="Default"/>
        <w:numPr>
          <w:ilvl w:val="0"/>
          <w:numId w:val="1"/>
        </w:numPr>
        <w:ind w:left="360" w:hanging="360"/>
        <w:jc w:val="both"/>
        <w:rPr>
          <w:color w:val="auto"/>
        </w:rPr>
      </w:pPr>
      <w:r w:rsidRPr="00812BE0">
        <w:rPr>
          <w:color w:val="auto"/>
        </w:rPr>
        <w:t xml:space="preserve">Before he was a famous writer, </w:t>
      </w:r>
      <w:proofErr w:type="spellStart"/>
      <w:r w:rsidR="008D72C9">
        <w:rPr>
          <w:color w:val="auto"/>
        </w:rPr>
        <w:t>Waleed</w:t>
      </w:r>
      <w:proofErr w:type="spellEnd"/>
      <w:r w:rsidR="008D72C9">
        <w:rPr>
          <w:color w:val="auto"/>
        </w:rPr>
        <w:t xml:space="preserve"> was an ordinary </w:t>
      </w:r>
      <w:r w:rsidRPr="00812BE0">
        <w:rPr>
          <w:color w:val="auto"/>
        </w:rPr>
        <w:t xml:space="preserve">man. </w:t>
      </w:r>
    </w:p>
    <w:p w:rsidR="00812BE0" w:rsidRPr="00812BE0" w:rsidRDefault="00812BE0" w:rsidP="008D72C9">
      <w:pPr>
        <w:pStyle w:val="Default"/>
        <w:numPr>
          <w:ilvl w:val="0"/>
          <w:numId w:val="1"/>
        </w:numPr>
        <w:ind w:left="360" w:hanging="360"/>
        <w:jc w:val="both"/>
        <w:rPr>
          <w:color w:val="auto"/>
        </w:rPr>
      </w:pPr>
      <w:r w:rsidRPr="00812BE0">
        <w:rPr>
          <w:color w:val="auto"/>
        </w:rPr>
        <w:t xml:space="preserve">After </w:t>
      </w:r>
      <w:r w:rsidR="008D72C9">
        <w:rPr>
          <w:color w:val="auto"/>
        </w:rPr>
        <w:t>he</w:t>
      </w:r>
      <w:r w:rsidRPr="00812BE0">
        <w:rPr>
          <w:color w:val="auto"/>
        </w:rPr>
        <w:t xml:space="preserve"> graduates this year, </w:t>
      </w:r>
      <w:r w:rsidR="008D72C9">
        <w:rPr>
          <w:color w:val="auto"/>
        </w:rPr>
        <w:t>Ali</w:t>
      </w:r>
      <w:r w:rsidRPr="00812BE0">
        <w:rPr>
          <w:color w:val="auto"/>
        </w:rPr>
        <w:t xml:space="preserve"> will work in her father’s law firm. </w:t>
      </w:r>
    </w:p>
    <w:p w:rsidR="00812BE0" w:rsidRPr="00812BE0" w:rsidRDefault="00812BE0" w:rsidP="00812BE0">
      <w:pPr>
        <w:pStyle w:val="Default"/>
        <w:rPr>
          <w:color w:val="auto"/>
          <w:sz w:val="28"/>
          <w:szCs w:val="28"/>
        </w:rPr>
        <w:sectPr w:rsidR="00812BE0" w:rsidRPr="00812BE0">
          <w:pgSz w:w="12240" w:h="16340"/>
          <w:pgMar w:top="1154" w:right="1334" w:bottom="1398" w:left="1607" w:header="720" w:footer="720" w:gutter="0"/>
          <w:cols w:space="720"/>
          <w:noEndnote/>
        </w:sectPr>
      </w:pPr>
    </w:p>
    <w:p w:rsidR="00812BE0" w:rsidRPr="008D72C9" w:rsidRDefault="00812BE0" w:rsidP="008D72C9">
      <w:pPr>
        <w:pStyle w:val="Default"/>
        <w:spacing w:line="231" w:lineRule="atLeast"/>
        <w:rPr>
          <w:rFonts w:hint="cs"/>
          <w:color w:val="auto"/>
          <w:rtl/>
        </w:rPr>
      </w:pPr>
    </w:p>
    <w:sectPr w:rsidR="00812BE0" w:rsidRPr="008D72C9" w:rsidSect="00382D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37B25E"/>
    <w:multiLevelType w:val="hybridMultilevel"/>
    <w:tmpl w:val="43E7317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12BE0"/>
    <w:rsid w:val="00382D24"/>
    <w:rsid w:val="00812BE0"/>
    <w:rsid w:val="008D72C9"/>
    <w:rsid w:val="00C2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812BE0"/>
    <w:rPr>
      <w:color w:val="auto"/>
    </w:rPr>
  </w:style>
  <w:style w:type="paragraph" w:customStyle="1" w:styleId="CM2">
    <w:name w:val="CM2"/>
    <w:basedOn w:val="Default"/>
    <w:next w:val="Default"/>
    <w:uiPriority w:val="99"/>
    <w:rsid w:val="00812BE0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812BE0"/>
    <w:rPr>
      <w:color w:val="auto"/>
    </w:rPr>
  </w:style>
  <w:style w:type="paragraph" w:customStyle="1" w:styleId="CM4">
    <w:name w:val="CM4"/>
    <w:basedOn w:val="Default"/>
    <w:next w:val="Default"/>
    <w:uiPriority w:val="99"/>
    <w:rsid w:val="00812BE0"/>
    <w:pPr>
      <w:spacing w:line="231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2BE0"/>
    <w:rPr>
      <w:color w:val="auto"/>
    </w:rPr>
  </w:style>
  <w:style w:type="table" w:styleId="a3">
    <w:name w:val="Table Grid"/>
    <w:basedOn w:val="a1"/>
    <w:uiPriority w:val="59"/>
    <w:rsid w:val="0081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2015-11-29T18:40:00Z</dcterms:created>
  <dcterms:modified xsi:type="dcterms:W3CDTF">2015-11-29T18:55:00Z</dcterms:modified>
</cp:coreProperties>
</file>