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73" w:rsidRPr="00AB1A73" w:rsidRDefault="00AB1A73" w:rsidP="00AB1A73">
      <w:pPr>
        <w:ind w:left="-540"/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3277D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:rsidR="005E76C2" w:rsidRPr="00AB1A73" w:rsidRDefault="00AB1A73" w:rsidP="00AB1A73">
      <w:pPr>
        <w:jc w:val="center"/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</w:pPr>
      <w:r w:rsidRPr="00AB1A73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>The effect of substrate concentration on the rate of an enzyme catalyzed reaction</w:t>
      </w:r>
      <w:bookmarkStart w:id="0" w:name="_GoBack"/>
      <w:bookmarkEnd w:id="0"/>
    </w:p>
    <w:p w:rsidR="00AB1A73" w:rsidRPr="00AB1A73" w:rsidRDefault="00AB1A73" w:rsidP="00AB1A73">
      <w:pPr>
        <w:rPr>
          <w:rFonts w:ascii="Century Gothic" w:hAnsi="Century Gothic"/>
          <w:b/>
          <w:bCs/>
          <w:i/>
          <w:iCs/>
          <w:szCs w:val="24"/>
          <w:u w:val="double"/>
        </w:rPr>
      </w:pPr>
      <w:r w:rsidRPr="004959FC">
        <w:rPr>
          <w:rFonts w:ascii="Century Gothic" w:hAnsi="Century Gothic"/>
          <w:b/>
          <w:bCs/>
          <w:i/>
          <w:iCs/>
          <w:sz w:val="24"/>
          <w:szCs w:val="28"/>
          <w:u w:val="double"/>
        </w:rPr>
        <w:t>Method:</w:t>
      </w:r>
    </w:p>
    <w:p w:rsidR="00AB1A73" w:rsidRPr="00AB1A73" w:rsidRDefault="00AB1A73" w:rsidP="00AB1A73">
      <w:pPr>
        <w:rPr>
          <w:rFonts w:ascii="Century Gothic" w:hAnsi="Century Gothic"/>
          <w:b/>
          <w:bCs/>
          <w:i/>
          <w:iCs/>
          <w:sz w:val="24"/>
          <w:szCs w:val="24"/>
        </w:rPr>
      </w:pPr>
    </w:p>
    <w:p w:rsidR="00000000" w:rsidRPr="005E76C2" w:rsidRDefault="005E76C2" w:rsidP="00DF11FF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>Prepare 8 tubes labeled as follows</w:t>
      </w:r>
      <w:r>
        <w:rPr>
          <w:rFonts w:ascii="Century Gothic" w:hAnsi="Century Gothic"/>
          <w:b/>
          <w:bCs/>
          <w:sz w:val="24"/>
          <w:szCs w:val="24"/>
        </w:rPr>
        <w:t xml:space="preserve"> in which each tube will contain the following concentration:</w:t>
      </w:r>
    </w:p>
    <w:tbl>
      <w:tblPr>
        <w:tblStyle w:val="GridTable1Light-Accent5"/>
        <w:tblpPr w:leftFromText="180" w:rightFromText="180" w:vertAnchor="page" w:horzAnchor="margin" w:tblpXSpec="center" w:tblpY="4576"/>
        <w:tblW w:w="10734" w:type="dxa"/>
        <w:tblLook w:val="0420" w:firstRow="1" w:lastRow="0" w:firstColumn="0" w:lastColumn="0" w:noHBand="0" w:noVBand="1"/>
      </w:tblPr>
      <w:tblGrid>
        <w:gridCol w:w="1447"/>
        <w:gridCol w:w="1099"/>
        <w:gridCol w:w="1241"/>
        <w:gridCol w:w="1108"/>
        <w:gridCol w:w="1241"/>
        <w:gridCol w:w="1058"/>
        <w:gridCol w:w="1180"/>
        <w:gridCol w:w="1180"/>
        <w:gridCol w:w="1180"/>
      </w:tblGrid>
      <w:tr w:rsidR="00AB1A73" w:rsidRPr="005E76C2" w:rsidTr="00AB1A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0"/>
        </w:trPr>
        <w:tc>
          <w:tcPr>
            <w:tcW w:w="1447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Tube</w:t>
            </w:r>
          </w:p>
        </w:tc>
        <w:tc>
          <w:tcPr>
            <w:tcW w:w="1099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A</w:t>
            </w:r>
          </w:p>
        </w:tc>
        <w:tc>
          <w:tcPr>
            <w:tcW w:w="1241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B</w:t>
            </w:r>
          </w:p>
        </w:tc>
        <w:tc>
          <w:tcPr>
            <w:tcW w:w="1108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</w:t>
            </w:r>
          </w:p>
        </w:tc>
        <w:tc>
          <w:tcPr>
            <w:tcW w:w="1241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D</w:t>
            </w:r>
          </w:p>
        </w:tc>
        <w:tc>
          <w:tcPr>
            <w:tcW w:w="1058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E</w:t>
            </w:r>
          </w:p>
        </w:tc>
        <w:tc>
          <w:tcPr>
            <w:tcW w:w="1180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F</w:t>
            </w:r>
          </w:p>
        </w:tc>
        <w:tc>
          <w:tcPr>
            <w:tcW w:w="1180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G</w:t>
            </w:r>
          </w:p>
        </w:tc>
        <w:tc>
          <w:tcPr>
            <w:tcW w:w="1180" w:type="dxa"/>
            <w:shd w:val="clear" w:color="auto" w:fill="DBDBDB" w:themeFill="accent3" w:themeFillTint="66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H</w:t>
            </w:r>
          </w:p>
        </w:tc>
      </w:tr>
      <w:tr w:rsidR="00AB1A73" w:rsidRPr="005E76C2" w:rsidTr="00AB1A73">
        <w:trPr>
          <w:trHeight w:val="490"/>
        </w:trPr>
        <w:tc>
          <w:tcPr>
            <w:tcW w:w="1447" w:type="dxa"/>
            <w:hideMark/>
          </w:tcPr>
          <w:p w:rsidR="00AB1A73" w:rsidRPr="005E76C2" w:rsidRDefault="00AB1A73" w:rsidP="00AB1A73">
            <w:pPr>
              <w:spacing w:after="160" w:line="259" w:lineRule="auto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 xml:space="preserve">[S] </w:t>
            </w:r>
            <w:proofErr w:type="spellStart"/>
            <w:r w:rsidRPr="005E76C2">
              <w:rPr>
                <w:rFonts w:ascii="Century Gothic" w:hAnsi="Century Gothic"/>
              </w:rPr>
              <w:t>mM</w:t>
            </w:r>
            <w:proofErr w:type="spellEnd"/>
          </w:p>
        </w:tc>
        <w:tc>
          <w:tcPr>
            <w:tcW w:w="1099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</w:t>
            </w:r>
          </w:p>
        </w:tc>
        <w:tc>
          <w:tcPr>
            <w:tcW w:w="1241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  <w:tc>
          <w:tcPr>
            <w:tcW w:w="1108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1</w:t>
            </w:r>
          </w:p>
        </w:tc>
        <w:tc>
          <w:tcPr>
            <w:tcW w:w="1241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2.5</w:t>
            </w:r>
          </w:p>
        </w:tc>
        <w:tc>
          <w:tcPr>
            <w:tcW w:w="1058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5</w:t>
            </w:r>
          </w:p>
        </w:tc>
        <w:tc>
          <w:tcPr>
            <w:tcW w:w="1180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10</w:t>
            </w:r>
          </w:p>
        </w:tc>
        <w:tc>
          <w:tcPr>
            <w:tcW w:w="1180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25</w:t>
            </w:r>
          </w:p>
        </w:tc>
        <w:tc>
          <w:tcPr>
            <w:tcW w:w="1180" w:type="dxa"/>
            <w:hideMark/>
          </w:tcPr>
          <w:p w:rsidR="00AB1A73" w:rsidRPr="005E76C2" w:rsidRDefault="00AB1A73" w:rsidP="00AB1A73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50</w:t>
            </w:r>
          </w:p>
        </w:tc>
      </w:tr>
    </w:tbl>
    <w:p w:rsidR="00DF11FF" w:rsidRPr="005E76C2" w:rsidRDefault="00DF11FF" w:rsidP="00DF11FF">
      <w:pPr>
        <w:ind w:left="720"/>
        <w:rPr>
          <w:rFonts w:ascii="Century Gothic" w:hAnsi="Century Gothic"/>
        </w:rPr>
      </w:pPr>
    </w:p>
    <w:p w:rsidR="00DF11FF" w:rsidRPr="005E76C2" w:rsidRDefault="00DF11FF" w:rsidP="00DF11FF">
      <w:pPr>
        <w:ind w:left="720"/>
        <w:rPr>
          <w:rFonts w:ascii="Century Gothic" w:hAnsi="Century Gothic"/>
        </w:rPr>
      </w:pPr>
    </w:p>
    <w:p w:rsidR="00000000" w:rsidRPr="005E76C2" w:rsidRDefault="00AB1A73" w:rsidP="00DF11FF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To each of these tubes add </w:t>
      </w:r>
    </w:p>
    <w:tbl>
      <w:tblPr>
        <w:tblStyle w:val="GridTable1Light-Accent5"/>
        <w:tblW w:w="8914" w:type="dxa"/>
        <w:tblLook w:val="04A0" w:firstRow="1" w:lastRow="0" w:firstColumn="1" w:lastColumn="0" w:noHBand="0" w:noVBand="1"/>
      </w:tblPr>
      <w:tblGrid>
        <w:gridCol w:w="6926"/>
        <w:gridCol w:w="1988"/>
      </w:tblGrid>
      <w:tr w:rsidR="00DF11FF" w:rsidRPr="005E76C2" w:rsidTr="00DF11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6" w:type="dxa"/>
            <w:shd w:val="clear" w:color="auto" w:fill="DBDBDB" w:themeFill="accent3" w:themeFillTint="66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Chemical</w:t>
            </w:r>
          </w:p>
        </w:tc>
        <w:tc>
          <w:tcPr>
            <w:tcW w:w="1988" w:type="dxa"/>
            <w:shd w:val="clear" w:color="auto" w:fill="DBDBDB" w:themeFill="accent3" w:themeFillTint="66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Volume (ml)</w:t>
            </w:r>
          </w:p>
        </w:tc>
      </w:tr>
      <w:tr w:rsidR="00DF11FF" w:rsidRPr="005E76C2" w:rsidTr="00DF11FF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6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pH sodium acetate buffer</w:t>
            </w:r>
          </w:p>
        </w:tc>
        <w:tc>
          <w:tcPr>
            <w:tcW w:w="1988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DF11FF" w:rsidRPr="005E76C2" w:rsidTr="00DF11FF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6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0.1M MgCl</w:t>
            </w:r>
            <w:r w:rsidRPr="005E76C2">
              <w:rPr>
                <w:rFonts w:ascii="Century Gothic" w:hAnsi="Century Gothic"/>
                <w:vertAlign w:val="subscript"/>
              </w:rPr>
              <w:t>2</w:t>
            </w:r>
          </w:p>
        </w:tc>
        <w:tc>
          <w:tcPr>
            <w:tcW w:w="1988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DF11FF" w:rsidRPr="005E76C2" w:rsidTr="00DF11FF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6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Corresponding p-</w:t>
            </w:r>
            <w:proofErr w:type="spellStart"/>
            <w:r w:rsidRPr="005E76C2">
              <w:rPr>
                <w:rFonts w:ascii="Century Gothic" w:hAnsi="Century Gothic"/>
              </w:rPr>
              <w:t>nitrophenyl</w:t>
            </w:r>
            <w:proofErr w:type="spellEnd"/>
            <w:r w:rsidRPr="005E76C2">
              <w:rPr>
                <w:rFonts w:ascii="Century Gothic" w:hAnsi="Century Gothic"/>
              </w:rPr>
              <w:t xml:space="preserve"> phosphate (</w:t>
            </w:r>
            <w:proofErr w:type="spellStart"/>
            <w:r w:rsidRPr="005E76C2">
              <w:rPr>
                <w:rFonts w:ascii="Century Gothic" w:hAnsi="Century Gothic"/>
              </w:rPr>
              <w:t>pNPP</w:t>
            </w:r>
            <w:proofErr w:type="spellEnd"/>
            <w:r w:rsidRPr="005E76C2">
              <w:rPr>
                <w:rFonts w:ascii="Century Gothic" w:hAnsi="Century Gothic"/>
              </w:rPr>
              <w:t>)</w:t>
            </w:r>
          </w:p>
        </w:tc>
        <w:tc>
          <w:tcPr>
            <w:tcW w:w="1988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DF11FF" w:rsidRPr="005E76C2" w:rsidTr="00DF11FF">
        <w:trPr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6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Water</w:t>
            </w:r>
          </w:p>
        </w:tc>
        <w:tc>
          <w:tcPr>
            <w:tcW w:w="1988" w:type="dxa"/>
            <w:hideMark/>
          </w:tcPr>
          <w:p w:rsidR="00DF11FF" w:rsidRPr="005E76C2" w:rsidRDefault="00DF11FF" w:rsidP="00DF11FF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5</w:t>
            </w:r>
          </w:p>
        </w:tc>
      </w:tr>
    </w:tbl>
    <w:p w:rsidR="00DF11FF" w:rsidRPr="005E76C2" w:rsidRDefault="00DF11FF" w:rsidP="00DF11FF">
      <w:pPr>
        <w:rPr>
          <w:rFonts w:ascii="Century Gothic" w:hAnsi="Century Gothic"/>
        </w:rPr>
      </w:pPr>
    </w:p>
    <w:p w:rsidR="00000000" w:rsidRPr="005E76C2" w:rsidRDefault="00AB1A73" w:rsidP="00DF11FF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>Place the tubes in a test tube rack situated in 37</w:t>
      </w:r>
      <w:r w:rsidRPr="005E76C2">
        <w:rPr>
          <w:rFonts w:ascii="Century Gothic" w:hAnsi="Century Gothic"/>
          <w:b/>
          <w:bCs/>
          <w:sz w:val="24"/>
          <w:szCs w:val="24"/>
          <w:vertAlign w:val="superscript"/>
        </w:rPr>
        <w:t>o</w:t>
      </w:r>
      <w:r w:rsidRPr="005E76C2">
        <w:rPr>
          <w:rFonts w:ascii="Century Gothic" w:hAnsi="Century Gothic"/>
          <w:b/>
          <w:bCs/>
          <w:sz w:val="24"/>
          <w:szCs w:val="24"/>
        </w:rPr>
        <w:t xml:space="preserve">C water bath and let stand for 5 min. </w:t>
      </w:r>
    </w:p>
    <w:p w:rsidR="00000000" w:rsidRPr="005E76C2" w:rsidRDefault="004B6106" w:rsidP="00DF11FF">
      <w:pPr>
        <w:numPr>
          <w:ilvl w:val="0"/>
          <w:numId w:val="2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 xml:space="preserve">Start the reaction by adding 0.5 ml enzyme and stop it by adding 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>0.5 ml KOH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 xml:space="preserve">  as in the following table:</w:t>
      </w: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Default="00AB1A73" w:rsidP="00DF11FF">
      <w:pPr>
        <w:rPr>
          <w:rFonts w:ascii="Century Gothic" w:hAnsi="Century Gothic"/>
          <w:b/>
          <w:bCs/>
          <w:i/>
          <w:iCs/>
        </w:rPr>
      </w:pPr>
    </w:p>
    <w:p w:rsidR="00AB1A73" w:rsidRPr="005E76C2" w:rsidRDefault="00AB1A73" w:rsidP="00DF11FF">
      <w:pPr>
        <w:rPr>
          <w:rFonts w:ascii="Century Gothic" w:hAnsi="Century Gothic"/>
        </w:rPr>
      </w:pPr>
    </w:p>
    <w:tbl>
      <w:tblPr>
        <w:tblW w:w="654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51"/>
        <w:gridCol w:w="2222"/>
        <w:gridCol w:w="2271"/>
      </w:tblGrid>
      <w:tr w:rsidR="00DF11FF" w:rsidRPr="005E76C2" w:rsidTr="005E76C2">
        <w:trPr>
          <w:trHeight w:val="250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Tube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Start the reaction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Stop the reaction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A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B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5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C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2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7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D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4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9min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E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6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11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F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8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13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G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15 min </w:t>
            </w:r>
          </w:p>
        </w:tc>
      </w:tr>
      <w:tr w:rsidR="00DF11FF" w:rsidRPr="005E76C2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H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>12 min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>17 min</w:t>
            </w:r>
          </w:p>
        </w:tc>
      </w:tr>
    </w:tbl>
    <w:p w:rsidR="00DF11FF" w:rsidRPr="005E76C2" w:rsidRDefault="00DF11FF" w:rsidP="00DF11FF">
      <w:pPr>
        <w:rPr>
          <w:rFonts w:ascii="Century Gothic" w:hAnsi="Century Gothic"/>
        </w:rPr>
      </w:pPr>
    </w:p>
    <w:p w:rsidR="00AB1A73" w:rsidRDefault="00AB1A73" w:rsidP="00AB1A73">
      <w:pPr>
        <w:rPr>
          <w:rFonts w:ascii="Century Gothic" w:hAnsi="Century Gothic"/>
          <w:b/>
          <w:bCs/>
          <w:i/>
          <w:iCs/>
        </w:rPr>
      </w:pPr>
      <w:r w:rsidRPr="005E76C2">
        <w:rPr>
          <w:rFonts w:ascii="Century Gothic" w:hAnsi="Century Gothic"/>
          <w:b/>
          <w:bCs/>
          <w:i/>
          <w:iCs/>
          <w:u w:val="single"/>
        </w:rPr>
        <w:t>Notes</w:t>
      </w:r>
      <w:r w:rsidRPr="005E76C2">
        <w:rPr>
          <w:rFonts w:ascii="Century Gothic" w:hAnsi="Century Gothic"/>
          <w:b/>
          <w:bCs/>
          <w:i/>
          <w:iCs/>
        </w:rPr>
        <w:t xml:space="preserve">:  </w:t>
      </w:r>
    </w:p>
    <w:p w:rsidR="00000000" w:rsidRPr="005E76C2" w:rsidRDefault="00AB1A73" w:rsidP="00AB1A73">
      <w:pPr>
        <w:numPr>
          <w:ilvl w:val="0"/>
          <w:numId w:val="3"/>
        </w:numPr>
        <w:tabs>
          <w:tab w:val="left" w:pos="720"/>
        </w:tabs>
        <w:rPr>
          <w:rFonts w:ascii="Century Gothic" w:hAnsi="Century Gothic"/>
        </w:rPr>
      </w:pPr>
      <w:r w:rsidRPr="005E76C2">
        <w:rPr>
          <w:rFonts w:ascii="Century Gothic" w:hAnsi="Century Gothic"/>
        </w:rPr>
        <w:t xml:space="preserve"> </w:t>
      </w:r>
      <w:r w:rsidRPr="005E76C2">
        <w:rPr>
          <w:rFonts w:ascii="Century Gothic" w:hAnsi="Century Gothic"/>
        </w:rPr>
        <w:t xml:space="preserve">(The tube containing no substrate should be used as the blank). </w:t>
      </w:r>
    </w:p>
    <w:p w:rsidR="004B6106" w:rsidRPr="005E76C2" w:rsidRDefault="004B6106">
      <w:pPr>
        <w:rPr>
          <w:rFonts w:ascii="Century Gothic" w:hAnsi="Century Gothic"/>
        </w:rPr>
      </w:pPr>
    </w:p>
    <w:sectPr w:rsidR="004B6106" w:rsidRPr="005E76C2" w:rsidSect="005E76C2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6BCA"/>
    <w:multiLevelType w:val="hybridMultilevel"/>
    <w:tmpl w:val="F1E214D6"/>
    <w:lvl w:ilvl="0" w:tplc="C7F44F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22B0E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B0FA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84FDD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BC3FA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02A5A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017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B604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BCE93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FE30677"/>
    <w:multiLevelType w:val="hybridMultilevel"/>
    <w:tmpl w:val="831657BA"/>
    <w:lvl w:ilvl="0" w:tplc="F5429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0F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1E3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9EE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6A4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205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FC5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8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007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F783BC6"/>
    <w:multiLevelType w:val="hybridMultilevel"/>
    <w:tmpl w:val="97369B50"/>
    <w:lvl w:ilvl="0" w:tplc="C91CF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A9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6C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A4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8E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43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D09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EF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444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06"/>
    <w:rsid w:val="004B6106"/>
    <w:rsid w:val="005E76C2"/>
    <w:rsid w:val="00AB1A73"/>
    <w:rsid w:val="00AC0986"/>
    <w:rsid w:val="00DF11FF"/>
    <w:rsid w:val="00EA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77AB97-4FC9-40FF-A921-0EA199BE0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6Colorful-Accent5">
    <w:name w:val="Grid Table 6 Colorful Accent 5"/>
    <w:basedOn w:val="TableNormal"/>
    <w:uiPriority w:val="51"/>
    <w:rsid w:val="00DF11F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1">
    <w:name w:val="Grid Table 4 Accent 1"/>
    <w:basedOn w:val="TableNormal"/>
    <w:uiPriority w:val="49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3-Accent5">
    <w:name w:val="List Table 3 Accent 5"/>
    <w:basedOn w:val="TableNormal"/>
    <w:uiPriority w:val="48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eGrid">
    <w:name w:val="Table Grid"/>
    <w:basedOn w:val="TableNormal"/>
    <w:uiPriority w:val="39"/>
    <w:rsid w:val="00DF1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DF11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1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0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6049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720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26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B03E0-EDCF-41D8-8A22-74559E3F9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2015-11-15T21:03:00Z</dcterms:created>
  <dcterms:modified xsi:type="dcterms:W3CDTF">2015-11-16T17:41:00Z</dcterms:modified>
</cp:coreProperties>
</file>