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24" w:rsidRDefault="0081040C" w:rsidP="00AD1724">
      <w:pPr>
        <w:shd w:val="clear" w:color="auto" w:fill="FFFFFF"/>
        <w:bidi/>
        <w:spacing w:before="100" w:beforeAutospacing="1" w:after="100" w:afterAutospacing="1" w:line="240" w:lineRule="auto"/>
        <w:jc w:val="center"/>
        <w:rPr>
          <w:rFonts w:ascii="Verdana" w:eastAsia="Times New Roman" w:hAnsi="Verdana" w:cs="Times New Roman"/>
          <w:b/>
          <w:bCs/>
          <w:sz w:val="28"/>
          <w:szCs w:val="28"/>
          <w:u w:val="single"/>
        </w:rPr>
      </w:pPr>
      <w:r>
        <w:rPr>
          <w:rFonts w:ascii="Verdana" w:eastAsia="Times New Roman" w:hAnsi="Verdana" w:cs="Times New Roman" w:hint="cs"/>
          <w:b/>
          <w:bCs/>
          <w:sz w:val="28"/>
          <w:szCs w:val="28"/>
          <w:u w:val="single"/>
          <w:rtl/>
        </w:rPr>
        <w:t>القانون الإداري(1)</w:t>
      </w:r>
    </w:p>
    <w:p w:rsidR="00AD1724" w:rsidRDefault="00AD1724" w:rsidP="00AD1724">
      <w:pPr>
        <w:shd w:val="clear" w:color="auto" w:fill="FFFFFF"/>
        <w:bidi/>
        <w:spacing w:before="100" w:beforeAutospacing="1" w:after="100" w:afterAutospacing="1" w:line="240" w:lineRule="auto"/>
        <w:jc w:val="center"/>
        <w:rPr>
          <w:rFonts w:ascii="Verdana" w:eastAsia="Times New Roman" w:hAnsi="Verdana" w:cs="Times New Roman"/>
          <w:b/>
          <w:bCs/>
          <w:sz w:val="28"/>
          <w:szCs w:val="28"/>
          <w:rtl/>
        </w:rPr>
      </w:pP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 xml:space="preserve">المؤسسة التعليمية     جامعة الملك سعود </w:t>
      </w: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 xml:space="preserve">الكلية/ القسم            الحقوق </w:t>
      </w:r>
      <w:r w:rsidR="00EC5B8A">
        <w:rPr>
          <w:rFonts w:ascii="Verdana" w:eastAsia="Times New Roman" w:hAnsi="Verdana" w:cs="Times New Roman"/>
          <w:b/>
          <w:bCs/>
          <w:sz w:val="28"/>
          <w:szCs w:val="28"/>
          <w:rtl/>
        </w:rPr>
        <w:t>والعلوم السياسية/ القانون ال</w:t>
      </w:r>
      <w:r w:rsidR="00EC5B8A">
        <w:rPr>
          <w:rFonts w:ascii="Verdana" w:eastAsia="Times New Roman" w:hAnsi="Verdana" w:cs="Times New Roman" w:hint="cs"/>
          <w:b/>
          <w:bCs/>
          <w:sz w:val="28"/>
          <w:szCs w:val="28"/>
          <w:rtl/>
        </w:rPr>
        <w:t>عام</w:t>
      </w:r>
    </w:p>
    <w:tbl>
      <w:tblPr>
        <w:tblStyle w:val="TableGrid"/>
        <w:bidiVisual/>
        <w:tblW w:w="0" w:type="auto"/>
        <w:tblInd w:w="0" w:type="dxa"/>
        <w:tblLook w:val="04A0" w:firstRow="1" w:lastRow="0" w:firstColumn="1" w:lastColumn="0" w:noHBand="0" w:noVBand="1"/>
      </w:tblPr>
      <w:tblGrid>
        <w:gridCol w:w="4675"/>
        <w:gridCol w:w="4675"/>
      </w:tblGrid>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اسم المقرر ورقمه </w:t>
            </w:r>
            <w:bookmarkStart w:id="0" w:name="_GoBack"/>
            <w:bookmarkEnd w:id="0"/>
          </w:p>
        </w:tc>
        <w:tc>
          <w:tcPr>
            <w:tcW w:w="4675" w:type="dxa"/>
            <w:tcBorders>
              <w:top w:val="single" w:sz="4" w:space="0" w:color="auto"/>
              <w:left w:val="single" w:sz="4" w:space="0" w:color="auto"/>
              <w:bottom w:val="single" w:sz="4" w:space="0" w:color="auto"/>
              <w:right w:val="single" w:sz="4" w:space="0" w:color="auto"/>
            </w:tcBorders>
            <w:hideMark/>
          </w:tcPr>
          <w:p w:rsidR="00AD1724" w:rsidRPr="00A356BF" w:rsidRDefault="0081040C" w:rsidP="00A356BF">
            <w:pPr>
              <w:bidi/>
              <w:spacing w:before="100" w:beforeAutospacing="1" w:after="100" w:afterAutospacing="1" w:line="240" w:lineRule="auto"/>
              <w:contextualSpacing/>
              <w:rPr>
                <w:rFonts w:ascii="Verdana" w:eastAsia="Times New Roman" w:hAnsi="Verdana" w:cs="Times New Roman"/>
                <w:sz w:val="28"/>
                <w:szCs w:val="28"/>
                <w:rtl/>
              </w:rPr>
            </w:pPr>
            <w:r w:rsidRPr="00A356BF">
              <w:rPr>
                <w:rFonts w:ascii="Verdana" w:eastAsia="Times New Roman" w:hAnsi="Verdana" w:cs="Times New Roman" w:hint="cs"/>
                <w:sz w:val="28"/>
                <w:szCs w:val="28"/>
                <w:rtl/>
              </w:rPr>
              <w:t>القانون الإداري(1) (138 حقق)</w:t>
            </w:r>
          </w:p>
        </w:tc>
      </w:tr>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الساعات المعتمدة </w:t>
            </w:r>
          </w:p>
        </w:tc>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3 ساعات أسبوعياً </w:t>
            </w:r>
          </w:p>
        </w:tc>
      </w:tr>
      <w:tr w:rsidR="00513A8C" w:rsidTr="00AD1724">
        <w:tc>
          <w:tcPr>
            <w:tcW w:w="4675" w:type="dxa"/>
            <w:tcBorders>
              <w:top w:val="single" w:sz="4" w:space="0" w:color="auto"/>
              <w:left w:val="single" w:sz="4" w:space="0" w:color="auto"/>
              <w:bottom w:val="single" w:sz="4" w:space="0" w:color="auto"/>
              <w:right w:val="single" w:sz="4" w:space="0" w:color="auto"/>
            </w:tcBorders>
          </w:tcPr>
          <w:p w:rsidR="00513A8C" w:rsidRDefault="00513A8C">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hint="cs"/>
                <w:sz w:val="28"/>
                <w:szCs w:val="28"/>
                <w:rtl/>
              </w:rPr>
              <w:t>رقم الشعبة</w:t>
            </w:r>
          </w:p>
        </w:tc>
        <w:tc>
          <w:tcPr>
            <w:tcW w:w="4675" w:type="dxa"/>
            <w:tcBorders>
              <w:top w:val="single" w:sz="4" w:space="0" w:color="auto"/>
              <w:left w:val="single" w:sz="4" w:space="0" w:color="auto"/>
              <w:bottom w:val="single" w:sz="4" w:space="0" w:color="auto"/>
              <w:right w:val="single" w:sz="4" w:space="0" w:color="auto"/>
            </w:tcBorders>
          </w:tcPr>
          <w:p w:rsidR="00513A8C" w:rsidRDefault="00513A8C">
            <w:pPr>
              <w:bidi/>
              <w:spacing w:before="100" w:beforeAutospacing="1" w:after="100" w:afterAutospacing="1" w:line="240" w:lineRule="auto"/>
              <w:contextualSpacing/>
              <w:rPr>
                <w:rFonts w:ascii="Verdana" w:eastAsia="Times New Roman" w:hAnsi="Verdana" w:cs="Times New Roman"/>
                <w:sz w:val="28"/>
                <w:szCs w:val="28"/>
                <w:rtl/>
              </w:rPr>
            </w:pPr>
          </w:p>
        </w:tc>
      </w:tr>
      <w:tr w:rsidR="00513A8C" w:rsidTr="00AD1724">
        <w:tc>
          <w:tcPr>
            <w:tcW w:w="4675" w:type="dxa"/>
            <w:tcBorders>
              <w:top w:val="single" w:sz="4" w:space="0" w:color="auto"/>
              <w:left w:val="single" w:sz="4" w:space="0" w:color="auto"/>
              <w:bottom w:val="single" w:sz="4" w:space="0" w:color="auto"/>
              <w:right w:val="single" w:sz="4" w:space="0" w:color="auto"/>
            </w:tcBorders>
          </w:tcPr>
          <w:p w:rsidR="00513A8C" w:rsidRDefault="00513A8C">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hint="cs"/>
                <w:sz w:val="28"/>
                <w:szCs w:val="28"/>
                <w:rtl/>
              </w:rPr>
              <w:t>وقت المحاضرة</w:t>
            </w:r>
          </w:p>
        </w:tc>
        <w:tc>
          <w:tcPr>
            <w:tcW w:w="4675" w:type="dxa"/>
            <w:tcBorders>
              <w:top w:val="single" w:sz="4" w:space="0" w:color="auto"/>
              <w:left w:val="single" w:sz="4" w:space="0" w:color="auto"/>
              <w:bottom w:val="single" w:sz="4" w:space="0" w:color="auto"/>
              <w:right w:val="single" w:sz="4" w:space="0" w:color="auto"/>
            </w:tcBorders>
          </w:tcPr>
          <w:p w:rsidR="00513A8C" w:rsidRDefault="00513A8C">
            <w:pPr>
              <w:bidi/>
              <w:spacing w:before="100" w:beforeAutospacing="1" w:after="100" w:afterAutospacing="1" w:line="240" w:lineRule="auto"/>
              <w:contextualSpacing/>
              <w:rPr>
                <w:rFonts w:ascii="Verdana" w:eastAsia="Times New Roman" w:hAnsi="Verdana" w:cs="Times New Roman"/>
                <w:sz w:val="28"/>
                <w:szCs w:val="28"/>
                <w:rtl/>
              </w:rPr>
            </w:pPr>
          </w:p>
        </w:tc>
      </w:tr>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البرنامج الذي يتم تقديم المقرر ضمنه </w:t>
            </w:r>
          </w:p>
        </w:tc>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البكالوريس</w:t>
            </w:r>
          </w:p>
        </w:tc>
      </w:tr>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اسم عضو هيئة التدريس المسؤول عن تدريس المقرر</w:t>
            </w:r>
          </w:p>
        </w:tc>
        <w:tc>
          <w:tcPr>
            <w:tcW w:w="4675" w:type="dxa"/>
            <w:tcBorders>
              <w:top w:val="single" w:sz="4" w:space="0" w:color="auto"/>
              <w:left w:val="single" w:sz="4" w:space="0" w:color="auto"/>
              <w:bottom w:val="single" w:sz="4" w:space="0" w:color="auto"/>
              <w:right w:val="single" w:sz="4" w:space="0" w:color="auto"/>
            </w:tcBorders>
            <w:hideMark/>
          </w:tcPr>
          <w:p w:rsidR="00AD1724" w:rsidRDefault="0081040C" w:rsidP="0081040C">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hint="cs"/>
                <w:sz w:val="28"/>
                <w:szCs w:val="28"/>
                <w:rtl/>
              </w:rPr>
              <w:t>أ.ساره سبتي السبتي</w:t>
            </w:r>
          </w:p>
        </w:tc>
      </w:tr>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المستوى الذي يتم فيه تدريس المقرر</w:t>
            </w:r>
          </w:p>
        </w:tc>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المستوى ا</w:t>
            </w:r>
            <w:r w:rsidR="00DC34CE">
              <w:rPr>
                <w:rFonts w:ascii="Verdana" w:eastAsia="Times New Roman" w:hAnsi="Verdana" w:cs="Times New Roman" w:hint="cs"/>
                <w:sz w:val="28"/>
                <w:szCs w:val="28"/>
                <w:rtl/>
              </w:rPr>
              <w:t>لرابع</w:t>
            </w:r>
            <w:r>
              <w:rPr>
                <w:rFonts w:ascii="Verdana" w:eastAsia="Times New Roman" w:hAnsi="Verdana" w:cs="Times New Roman"/>
                <w:sz w:val="28"/>
                <w:szCs w:val="28"/>
                <w:rtl/>
              </w:rPr>
              <w:t xml:space="preserve"> </w:t>
            </w:r>
          </w:p>
        </w:tc>
      </w:tr>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المتطلبات السابقة لهذا المقرر </w:t>
            </w:r>
          </w:p>
        </w:tc>
        <w:tc>
          <w:tcPr>
            <w:tcW w:w="4675" w:type="dxa"/>
            <w:tcBorders>
              <w:top w:val="single" w:sz="4" w:space="0" w:color="auto"/>
              <w:left w:val="single" w:sz="4" w:space="0" w:color="auto"/>
              <w:bottom w:val="single" w:sz="4" w:space="0" w:color="auto"/>
              <w:right w:val="single" w:sz="4" w:space="0" w:color="auto"/>
            </w:tcBorders>
            <w:hideMark/>
          </w:tcPr>
          <w:p w:rsidR="00AD1724" w:rsidRDefault="0081040C">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101 حقق مبادئ القان</w:t>
            </w:r>
            <w:r>
              <w:rPr>
                <w:rFonts w:ascii="Verdana" w:eastAsia="Times New Roman" w:hAnsi="Verdana" w:cs="Times New Roman" w:hint="cs"/>
                <w:sz w:val="28"/>
                <w:szCs w:val="28"/>
                <w:rtl/>
              </w:rPr>
              <w:t>ون</w:t>
            </w:r>
          </w:p>
        </w:tc>
      </w:tr>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المتطلبات المصاحبة لهذا المقرر </w:t>
            </w:r>
          </w:p>
        </w:tc>
        <w:tc>
          <w:tcPr>
            <w:tcW w:w="4675" w:type="dxa"/>
            <w:tcBorders>
              <w:top w:val="single" w:sz="4" w:space="0" w:color="auto"/>
              <w:left w:val="single" w:sz="4" w:space="0" w:color="auto"/>
              <w:bottom w:val="single" w:sz="4" w:space="0" w:color="auto"/>
              <w:right w:val="single" w:sz="4" w:space="0" w:color="auto"/>
            </w:tcBorders>
            <w:hideMark/>
          </w:tcPr>
          <w:p w:rsidR="00AD1724" w:rsidRDefault="00AD1724" w:rsidP="007D5374">
            <w:pPr>
              <w:tabs>
                <w:tab w:val="left" w:pos="1754"/>
              </w:tabs>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لا يوجد </w:t>
            </w:r>
            <w:r w:rsidR="007D5374">
              <w:rPr>
                <w:rFonts w:ascii="Verdana" w:eastAsia="Times New Roman" w:hAnsi="Verdana" w:cs="Times New Roman"/>
                <w:sz w:val="28"/>
                <w:szCs w:val="28"/>
                <w:rtl/>
              </w:rPr>
              <w:tab/>
            </w:r>
          </w:p>
        </w:tc>
      </w:tr>
      <w:tr w:rsidR="00AD1724" w:rsidTr="00AD1724">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مكان تدريس المقرر </w:t>
            </w:r>
          </w:p>
        </w:tc>
        <w:tc>
          <w:tcPr>
            <w:tcW w:w="4675" w:type="dxa"/>
            <w:tcBorders>
              <w:top w:val="single" w:sz="4" w:space="0" w:color="auto"/>
              <w:left w:val="single" w:sz="4" w:space="0" w:color="auto"/>
              <w:bottom w:val="single" w:sz="4" w:space="0" w:color="auto"/>
              <w:right w:val="single" w:sz="4" w:space="0" w:color="auto"/>
            </w:tcBorders>
            <w:hideMark/>
          </w:tcPr>
          <w:p w:rsidR="00AD1724" w:rsidRDefault="00AD1724">
            <w:pPr>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مبنى كلية الحقوق والعلوم السياسية </w:t>
            </w:r>
          </w:p>
        </w:tc>
      </w:tr>
    </w:tbl>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توزيع الدرجات:</w:t>
      </w: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sz w:val="28"/>
          <w:szCs w:val="28"/>
          <w:rtl/>
        </w:rPr>
      </w:pPr>
      <w:r>
        <w:rPr>
          <w:rFonts w:ascii="Verdana" w:eastAsia="Times New Roman" w:hAnsi="Verdana" w:cs="Times New Roman"/>
          <w:sz w:val="28"/>
          <w:szCs w:val="28"/>
          <w:rtl/>
        </w:rPr>
        <w:t>- اختبار تحريري فصلي أول (25 درجة).</w:t>
      </w: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sz w:val="28"/>
          <w:szCs w:val="28"/>
          <w:rtl/>
        </w:rPr>
      </w:pPr>
      <w:r>
        <w:rPr>
          <w:rFonts w:ascii="Verdana" w:eastAsia="Times New Roman" w:hAnsi="Verdana" w:cs="Times New Roman"/>
          <w:sz w:val="28"/>
          <w:szCs w:val="28"/>
          <w:rtl/>
        </w:rPr>
        <w:t>- اختبار تحريري فصلي ثاني (30 درجة).</w:t>
      </w:r>
    </w:p>
    <w:p w:rsidR="00A356BF" w:rsidRDefault="00A356BF" w:rsidP="00A356BF">
      <w:p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sz w:val="28"/>
          <w:szCs w:val="28"/>
          <w:rtl/>
        </w:rPr>
        <w:t>- أعمال فصلية (5 درجات)</w:t>
      </w:r>
      <w:r w:rsidR="00747361">
        <w:rPr>
          <w:rFonts w:ascii="Verdana" w:eastAsia="Times New Roman" w:hAnsi="Verdana" w:cs="Times New Roman"/>
          <w:sz w:val="28"/>
          <w:szCs w:val="28"/>
        </w:rPr>
        <w:t>.</w:t>
      </w: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sz w:val="28"/>
          <w:szCs w:val="28"/>
          <w:rtl/>
        </w:rPr>
        <w:t>- اختبار تحريري نهائي (40 درجة)</w:t>
      </w:r>
      <w:r w:rsidR="00747361">
        <w:rPr>
          <w:rFonts w:ascii="Verdana" w:eastAsia="Times New Roman" w:hAnsi="Verdana" w:cs="Times New Roman"/>
          <w:sz w:val="28"/>
          <w:szCs w:val="28"/>
        </w:rPr>
        <w:t>.</w:t>
      </w:r>
    </w:p>
    <w:p w:rsidR="003211D8" w:rsidRDefault="003211D8" w:rsidP="003211D8">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 xml:space="preserve">مواعيد الإختبارات الفصلية: </w:t>
      </w:r>
    </w:p>
    <w:p w:rsidR="003211D8" w:rsidRDefault="003211D8" w:rsidP="003211D8">
      <w:pPr>
        <w:shd w:val="clear" w:color="auto" w:fill="FFFFFF"/>
        <w:bidi/>
        <w:spacing w:before="100" w:beforeAutospacing="1" w:after="100" w:afterAutospacing="1" w:line="240" w:lineRule="auto"/>
        <w:rPr>
          <w:rFonts w:ascii="Verdana" w:eastAsia="Times New Roman" w:hAnsi="Verdana" w:cs="Times New Roman"/>
          <w:sz w:val="28"/>
          <w:szCs w:val="28"/>
          <w:rtl/>
        </w:rPr>
      </w:pPr>
      <w:r>
        <w:rPr>
          <w:rFonts w:ascii="Verdana" w:eastAsia="Times New Roman" w:hAnsi="Verdana" w:cs="Times New Roman"/>
          <w:sz w:val="28"/>
          <w:szCs w:val="28"/>
          <w:rtl/>
        </w:rPr>
        <w:t>الأختبار الفصلي الأول : ا</w:t>
      </w:r>
      <w:r>
        <w:rPr>
          <w:rFonts w:ascii="Verdana" w:eastAsia="Times New Roman" w:hAnsi="Verdana" w:cs="Times New Roman" w:hint="cs"/>
          <w:sz w:val="28"/>
          <w:szCs w:val="28"/>
          <w:rtl/>
        </w:rPr>
        <w:t>لثلاثاء 31- أكتوبر-</w:t>
      </w:r>
      <w:r>
        <w:rPr>
          <w:rFonts w:ascii="Verdana" w:eastAsia="Times New Roman" w:hAnsi="Verdana" w:cs="Times New Roman"/>
          <w:sz w:val="28"/>
          <w:szCs w:val="28"/>
        </w:rPr>
        <w:t xml:space="preserve"> -2017</w:t>
      </w:r>
      <w:r>
        <w:rPr>
          <w:rFonts w:ascii="Verdana" w:eastAsia="Times New Roman" w:hAnsi="Verdana" w:cs="Times New Roman" w:hint="cs"/>
          <w:sz w:val="28"/>
          <w:szCs w:val="28"/>
          <w:rtl/>
        </w:rPr>
        <w:t xml:space="preserve"> الموافق 10 -صفر-1439هـ.</w:t>
      </w:r>
    </w:p>
    <w:p w:rsidR="003211D8" w:rsidRDefault="003211D8" w:rsidP="003211D8">
      <w:pPr>
        <w:shd w:val="clear" w:color="auto" w:fill="FFFFFF"/>
        <w:bidi/>
        <w:spacing w:before="100" w:beforeAutospacing="1" w:after="100" w:afterAutospacing="1" w:line="240" w:lineRule="auto"/>
        <w:rPr>
          <w:rFonts w:ascii="Verdana" w:eastAsia="Times New Roman" w:hAnsi="Verdana" w:cs="Times New Roman"/>
          <w:sz w:val="28"/>
          <w:szCs w:val="28"/>
          <w:rtl/>
        </w:rPr>
      </w:pPr>
      <w:r>
        <w:rPr>
          <w:rFonts w:ascii="Verdana" w:eastAsia="Times New Roman" w:hAnsi="Verdana" w:cs="Times New Roman"/>
          <w:sz w:val="28"/>
          <w:szCs w:val="28"/>
          <w:rtl/>
        </w:rPr>
        <w:t>الأختبار الفصلي الثاني: ا</w:t>
      </w:r>
      <w:r>
        <w:rPr>
          <w:rFonts w:ascii="Verdana" w:eastAsia="Times New Roman" w:hAnsi="Verdana" w:cs="Times New Roman" w:hint="cs"/>
          <w:sz w:val="28"/>
          <w:szCs w:val="28"/>
          <w:rtl/>
        </w:rPr>
        <w:t>لثلاثاء 12-ديسمبر-2017 الموافق23- ربيع الثاني-1439هـ.</w:t>
      </w:r>
    </w:p>
    <w:p w:rsidR="00AD1724" w:rsidRDefault="00AD1724" w:rsidP="003211D8">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 xml:space="preserve">معلومات التواصل: </w:t>
      </w: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sz w:val="28"/>
          <w:szCs w:val="28"/>
          <w:rtl/>
        </w:rPr>
      </w:pPr>
      <w:r>
        <w:rPr>
          <w:rFonts w:ascii="Verdana" w:eastAsia="Times New Roman" w:hAnsi="Verdana" w:cs="Times New Roman"/>
          <w:sz w:val="28"/>
          <w:szCs w:val="28"/>
          <w:rtl/>
        </w:rPr>
        <w:t xml:space="preserve">البريد الإلكتروني: </w:t>
      </w:r>
      <w:hyperlink r:id="rId7" w:history="1">
        <w:r w:rsidR="00AE0A74" w:rsidRPr="00FE6499">
          <w:rPr>
            <w:rStyle w:val="Hyperlink"/>
            <w:rFonts w:ascii="Verdana" w:eastAsia="Times New Roman" w:hAnsi="Verdana" w:cs="Times New Roman"/>
            <w:sz w:val="28"/>
            <w:szCs w:val="28"/>
          </w:rPr>
          <w:t>salsabti@ksu.edu.sa</w:t>
        </w:r>
      </w:hyperlink>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sz w:val="28"/>
          <w:szCs w:val="28"/>
          <w:rtl/>
        </w:rPr>
        <w:t xml:space="preserve">مكتب </w:t>
      </w:r>
      <w:r w:rsidR="00534DB0">
        <w:rPr>
          <w:rFonts w:ascii="Verdana" w:eastAsia="Times New Roman" w:hAnsi="Verdana" w:cs="Times New Roman"/>
          <w:sz w:val="28"/>
          <w:szCs w:val="28"/>
        </w:rPr>
        <w:t>8</w:t>
      </w:r>
      <w:r>
        <w:rPr>
          <w:rFonts w:ascii="Verdana" w:eastAsia="Times New Roman" w:hAnsi="Verdana" w:cs="Times New Roman"/>
          <w:sz w:val="28"/>
          <w:szCs w:val="28"/>
          <w:rtl/>
        </w:rPr>
        <w:t xml:space="preserve"> بالدور الثاني من مبنى كلية الحقوق, مبنى (7)</w:t>
      </w: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sz w:val="28"/>
          <w:szCs w:val="28"/>
          <w:rtl/>
        </w:rPr>
      </w:pPr>
      <w:r>
        <w:rPr>
          <w:rFonts w:ascii="Verdana" w:eastAsia="Times New Roman" w:hAnsi="Verdana" w:cs="Times New Roman"/>
          <w:sz w:val="28"/>
          <w:szCs w:val="28"/>
          <w:rtl/>
        </w:rPr>
        <w:lastRenderedPageBreak/>
        <w:t>أوقات الساعات المكتبية سيتم الإعلان عنها لاحقاً</w:t>
      </w:r>
    </w:p>
    <w:p w:rsidR="00AE0A74" w:rsidRDefault="00AD1724" w:rsidP="00AE0A74">
      <w:pPr>
        <w:shd w:val="clear" w:color="auto" w:fill="FFFFFF"/>
        <w:bidi/>
        <w:spacing w:before="100" w:beforeAutospacing="1" w:after="100" w:afterAutospacing="1" w:line="240" w:lineRule="auto"/>
        <w:rPr>
          <w:rFonts w:ascii="Verdana" w:eastAsia="Times New Roman" w:hAnsi="Verdana" w:cs="Times New Roman"/>
          <w:b/>
          <w:bCs/>
          <w:sz w:val="28"/>
          <w:szCs w:val="28"/>
        </w:rPr>
      </w:pPr>
      <w:r>
        <w:rPr>
          <w:rFonts w:ascii="Verdana" w:eastAsia="Times New Roman" w:hAnsi="Verdana" w:cs="Times New Roman"/>
          <w:b/>
          <w:bCs/>
          <w:sz w:val="28"/>
          <w:szCs w:val="28"/>
          <w:rtl/>
        </w:rPr>
        <w:t>أهداف المقرر</w:t>
      </w:r>
      <w:r w:rsidR="00AE0A74">
        <w:rPr>
          <w:rFonts w:ascii="Verdana" w:eastAsia="Times New Roman" w:hAnsi="Verdana" w:cs="Times New Roman"/>
          <w:b/>
          <w:bCs/>
          <w:sz w:val="28"/>
          <w:szCs w:val="28"/>
        </w:rPr>
        <w:t>:</w:t>
      </w:r>
    </w:p>
    <w:p w:rsidR="00AE0A74" w:rsidRPr="00AE0A74" w:rsidRDefault="00AE0A74" w:rsidP="00AE0A74">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hint="cs"/>
          <w:b/>
          <w:bCs/>
          <w:sz w:val="28"/>
          <w:szCs w:val="28"/>
          <w:rtl/>
        </w:rPr>
        <w:t>معرفة مفاهيم نشاط الإدارة ومصطلح القانون الإداري بالإضافة إلى معرفة المحاور الأساسية التي يتناولها القانون الإداريز يهتم هذا المقرر بمعرفة وسائل الإدارة العامة عند تدخلها في إشباع الحاجات العامة مع بيان الضمانات الأساسية التي تحمي حقوق الأفراد في مواجهة إساءة استعمال السلطة.</w:t>
      </w:r>
    </w:p>
    <w:p w:rsidR="00AD1724" w:rsidRDefault="00AD1724" w:rsidP="00AE0A74">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الموضوعات الرئيسية التي يغطيها المقرر</w:t>
      </w:r>
      <w:r w:rsidR="00AE0A74">
        <w:rPr>
          <w:rFonts w:ascii="Verdana" w:eastAsia="Times New Roman" w:hAnsi="Verdana" w:cs="Times New Roman" w:hint="cs"/>
          <w:b/>
          <w:bCs/>
          <w:sz w:val="28"/>
          <w:szCs w:val="28"/>
          <w:rtl/>
        </w:rPr>
        <w:t>:</w:t>
      </w:r>
    </w:p>
    <w:tbl>
      <w:tblPr>
        <w:tblStyle w:val="TableGrid"/>
        <w:tblW w:w="9466" w:type="dxa"/>
        <w:tblInd w:w="0" w:type="dxa"/>
        <w:tblLook w:val="04A0" w:firstRow="1" w:lastRow="0" w:firstColumn="1" w:lastColumn="0" w:noHBand="0" w:noVBand="1"/>
      </w:tblPr>
      <w:tblGrid>
        <w:gridCol w:w="7834"/>
        <w:gridCol w:w="1632"/>
      </w:tblGrid>
      <w:tr w:rsidR="00AE0A74" w:rsidTr="00AE0A74">
        <w:trPr>
          <w:trHeight w:val="492"/>
        </w:trPr>
        <w:tc>
          <w:tcPr>
            <w:tcW w:w="7834" w:type="dxa"/>
          </w:tcPr>
          <w:p w:rsidR="00AE0A74" w:rsidRDefault="00AE0A74" w:rsidP="00AE0A74">
            <w:pPr>
              <w:jc w:val="right"/>
            </w:pPr>
            <w:r>
              <w:rPr>
                <w:rFonts w:hint="cs"/>
                <w:rtl/>
              </w:rPr>
              <w:t>الموضوع</w:t>
            </w:r>
          </w:p>
        </w:tc>
        <w:tc>
          <w:tcPr>
            <w:tcW w:w="1632" w:type="dxa"/>
          </w:tcPr>
          <w:p w:rsidR="00AE0A74" w:rsidRDefault="00AE0A74" w:rsidP="00AE0A74">
            <w:pPr>
              <w:jc w:val="right"/>
            </w:pPr>
            <w:r>
              <w:rPr>
                <w:rFonts w:hint="cs"/>
                <w:rtl/>
              </w:rPr>
              <w:t>عدد ال</w:t>
            </w:r>
            <w:r w:rsidR="00DC34CE">
              <w:rPr>
                <w:rFonts w:hint="cs"/>
                <w:rtl/>
              </w:rPr>
              <w:t>أسابيع</w:t>
            </w:r>
          </w:p>
        </w:tc>
      </w:tr>
      <w:tr w:rsidR="00AE0A74" w:rsidTr="00AE0A74">
        <w:trPr>
          <w:trHeight w:val="268"/>
        </w:trPr>
        <w:tc>
          <w:tcPr>
            <w:tcW w:w="7834" w:type="dxa"/>
          </w:tcPr>
          <w:p w:rsidR="00AE0A74" w:rsidRDefault="00AE0A74" w:rsidP="00AE0A74">
            <w:pPr>
              <w:jc w:val="right"/>
            </w:pPr>
            <w:r>
              <w:rPr>
                <w:rFonts w:hint="cs"/>
                <w:rtl/>
              </w:rPr>
              <w:t>تعريف القانون العام والقانون الاداري وخصائصهما</w:t>
            </w:r>
          </w:p>
        </w:tc>
        <w:tc>
          <w:tcPr>
            <w:tcW w:w="1632" w:type="dxa"/>
          </w:tcPr>
          <w:p w:rsidR="00AE0A74" w:rsidRDefault="00AE0A74" w:rsidP="00AE0A74">
            <w:pPr>
              <w:jc w:val="right"/>
            </w:pPr>
            <w:r>
              <w:rPr>
                <w:rFonts w:hint="cs"/>
                <w:rtl/>
              </w:rPr>
              <w:t>1</w:t>
            </w:r>
          </w:p>
        </w:tc>
      </w:tr>
      <w:tr w:rsidR="00AE0A74" w:rsidTr="00AE0A74">
        <w:trPr>
          <w:trHeight w:val="259"/>
        </w:trPr>
        <w:tc>
          <w:tcPr>
            <w:tcW w:w="7834" w:type="dxa"/>
          </w:tcPr>
          <w:p w:rsidR="00AE0A74" w:rsidRDefault="00AE0A74" w:rsidP="00AE0A74">
            <w:pPr>
              <w:jc w:val="right"/>
            </w:pPr>
            <w:r>
              <w:rPr>
                <w:rFonts w:hint="cs"/>
                <w:rtl/>
              </w:rPr>
              <w:t>مصادر القانون الإداري وعلاقة القانون الاداري بالقوانين الاخرى</w:t>
            </w:r>
          </w:p>
        </w:tc>
        <w:tc>
          <w:tcPr>
            <w:tcW w:w="1632" w:type="dxa"/>
          </w:tcPr>
          <w:p w:rsidR="00AE0A74" w:rsidRDefault="000C7EA6" w:rsidP="00AE0A74">
            <w:pPr>
              <w:jc w:val="right"/>
            </w:pPr>
            <w:r>
              <w:t>2</w:t>
            </w:r>
          </w:p>
        </w:tc>
      </w:tr>
      <w:tr w:rsidR="00AE0A74" w:rsidTr="00AE0A74">
        <w:trPr>
          <w:trHeight w:val="268"/>
        </w:trPr>
        <w:tc>
          <w:tcPr>
            <w:tcW w:w="7834" w:type="dxa"/>
          </w:tcPr>
          <w:p w:rsidR="00AE0A74" w:rsidRDefault="00AE0A74" w:rsidP="00AE0A74">
            <w:pPr>
              <w:jc w:val="right"/>
              <w:rPr>
                <w:rtl/>
              </w:rPr>
            </w:pPr>
            <w:r>
              <w:rPr>
                <w:rFonts w:hint="cs"/>
                <w:rtl/>
              </w:rPr>
              <w:t>التنظيم الاداري في المملكة</w:t>
            </w:r>
          </w:p>
        </w:tc>
        <w:tc>
          <w:tcPr>
            <w:tcW w:w="1632" w:type="dxa"/>
          </w:tcPr>
          <w:p w:rsidR="00AE0A74" w:rsidRDefault="000C7EA6" w:rsidP="00AE0A74">
            <w:pPr>
              <w:jc w:val="right"/>
            </w:pPr>
            <w:r>
              <w:t>4</w:t>
            </w:r>
          </w:p>
        </w:tc>
      </w:tr>
      <w:tr w:rsidR="00AE0A74" w:rsidTr="00AE0A74">
        <w:trPr>
          <w:trHeight w:val="259"/>
        </w:trPr>
        <w:tc>
          <w:tcPr>
            <w:tcW w:w="7834" w:type="dxa"/>
          </w:tcPr>
          <w:p w:rsidR="00AE0A74" w:rsidRDefault="00AE0A74" w:rsidP="00AE0A74">
            <w:pPr>
              <w:jc w:val="right"/>
            </w:pPr>
            <w:r>
              <w:rPr>
                <w:rFonts w:hint="cs"/>
                <w:rtl/>
              </w:rPr>
              <w:t>الضبط الاداري</w:t>
            </w:r>
          </w:p>
        </w:tc>
        <w:tc>
          <w:tcPr>
            <w:tcW w:w="1632" w:type="dxa"/>
          </w:tcPr>
          <w:p w:rsidR="00AE0A74" w:rsidRDefault="00AE0A74" w:rsidP="00AE0A74">
            <w:pPr>
              <w:jc w:val="right"/>
            </w:pPr>
            <w:r>
              <w:rPr>
                <w:rFonts w:hint="cs"/>
                <w:rtl/>
              </w:rPr>
              <w:t>2</w:t>
            </w:r>
          </w:p>
        </w:tc>
      </w:tr>
      <w:tr w:rsidR="00AE0A74" w:rsidTr="00AE0A74">
        <w:trPr>
          <w:trHeight w:val="268"/>
        </w:trPr>
        <w:tc>
          <w:tcPr>
            <w:tcW w:w="7834" w:type="dxa"/>
          </w:tcPr>
          <w:p w:rsidR="00AE0A74" w:rsidRDefault="00AE0A74" w:rsidP="00AE0A74">
            <w:pPr>
              <w:jc w:val="right"/>
            </w:pPr>
            <w:r>
              <w:rPr>
                <w:rFonts w:hint="cs"/>
                <w:rtl/>
              </w:rPr>
              <w:t>السلطة التقديرية</w:t>
            </w:r>
          </w:p>
        </w:tc>
        <w:tc>
          <w:tcPr>
            <w:tcW w:w="1632" w:type="dxa"/>
          </w:tcPr>
          <w:p w:rsidR="00AE0A74" w:rsidRDefault="00AE0A74" w:rsidP="00AE0A74">
            <w:pPr>
              <w:jc w:val="right"/>
            </w:pPr>
            <w:r>
              <w:rPr>
                <w:rFonts w:hint="cs"/>
                <w:rtl/>
              </w:rPr>
              <w:t>1</w:t>
            </w:r>
          </w:p>
        </w:tc>
      </w:tr>
      <w:tr w:rsidR="00AE0A74" w:rsidTr="00AE0A74">
        <w:trPr>
          <w:trHeight w:val="259"/>
        </w:trPr>
        <w:tc>
          <w:tcPr>
            <w:tcW w:w="7834" w:type="dxa"/>
          </w:tcPr>
          <w:p w:rsidR="00AE0A74" w:rsidRDefault="00AE0A74" w:rsidP="00AE0A74">
            <w:pPr>
              <w:jc w:val="right"/>
            </w:pPr>
            <w:r>
              <w:rPr>
                <w:rFonts w:hint="cs"/>
                <w:rtl/>
              </w:rPr>
              <w:t>التنفيذ المباشر</w:t>
            </w:r>
          </w:p>
        </w:tc>
        <w:tc>
          <w:tcPr>
            <w:tcW w:w="1632" w:type="dxa"/>
          </w:tcPr>
          <w:p w:rsidR="00AE0A74" w:rsidRDefault="00AE0A74" w:rsidP="00AE0A74">
            <w:pPr>
              <w:jc w:val="right"/>
            </w:pPr>
            <w:r>
              <w:rPr>
                <w:rFonts w:hint="cs"/>
                <w:rtl/>
              </w:rPr>
              <w:t>1</w:t>
            </w:r>
          </w:p>
        </w:tc>
      </w:tr>
    </w:tbl>
    <w:p w:rsidR="00AE0A74" w:rsidRDefault="00AE0A74" w:rsidP="00AE0A74">
      <w:pPr>
        <w:shd w:val="clear" w:color="auto" w:fill="FFFFFF"/>
        <w:bidi/>
        <w:spacing w:before="100" w:beforeAutospacing="1" w:after="100" w:afterAutospacing="1" w:line="240" w:lineRule="auto"/>
        <w:rPr>
          <w:rFonts w:ascii="Verdana" w:eastAsia="Times New Roman" w:hAnsi="Verdana" w:cs="Times New Roman"/>
          <w:b/>
          <w:bCs/>
          <w:sz w:val="28"/>
          <w:szCs w:val="28"/>
          <w:rtl/>
        </w:rPr>
      </w:pP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المراجع الأساسية:</w:t>
      </w:r>
    </w:p>
    <w:p w:rsidR="00AD1724" w:rsidRDefault="00AD1724" w:rsidP="00AD1724">
      <w:pPr>
        <w:numPr>
          <w:ilvl w:val="0"/>
          <w:numId w:val="2"/>
        </w:numPr>
        <w:shd w:val="clear" w:color="auto" w:fill="FFFFFF"/>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t xml:space="preserve"> المحاضرات</w:t>
      </w:r>
      <w:r w:rsidR="00747361">
        <w:rPr>
          <w:rFonts w:ascii="Verdana" w:eastAsia="Times New Roman" w:hAnsi="Verdana" w:cs="Times New Roman"/>
          <w:sz w:val="28"/>
          <w:szCs w:val="28"/>
        </w:rPr>
        <w:t>.</w:t>
      </w:r>
    </w:p>
    <w:p w:rsidR="00AD1724" w:rsidRDefault="00747361" w:rsidP="00747361">
      <w:pPr>
        <w:pStyle w:val="ListParagraph"/>
        <w:numPr>
          <w:ilvl w:val="0"/>
          <w:numId w:val="2"/>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السيد خليل هيكل , القانون الإداري</w:t>
      </w:r>
      <w:r w:rsidR="00AD1724" w:rsidRPr="00747361">
        <w:rPr>
          <w:rFonts w:ascii="Verdana" w:eastAsia="Times New Roman" w:hAnsi="Verdana" w:cs="Times New Roman"/>
          <w:sz w:val="28"/>
          <w:szCs w:val="28"/>
          <w:rtl/>
        </w:rPr>
        <w:t xml:space="preserve">. </w:t>
      </w:r>
    </w:p>
    <w:p w:rsidR="00473D49" w:rsidRDefault="00747361" w:rsidP="00473D49">
      <w:pPr>
        <w:pStyle w:val="ListParagraph"/>
        <w:numPr>
          <w:ilvl w:val="0"/>
          <w:numId w:val="2"/>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تنظيم الإدارة العامة ونشاطها, رسلان أنور أحمد .</w:t>
      </w:r>
    </w:p>
    <w:p w:rsidR="00473D49" w:rsidRPr="00473D49" w:rsidRDefault="00473D49" w:rsidP="00473D49">
      <w:pPr>
        <w:pStyle w:val="ListParagraph"/>
        <w:numPr>
          <w:ilvl w:val="0"/>
          <w:numId w:val="2"/>
        </w:numPr>
        <w:shd w:val="clear" w:color="auto" w:fill="FFFFFF"/>
        <w:bidi/>
        <w:spacing w:before="100" w:beforeAutospacing="1" w:after="100" w:afterAutospacing="1" w:line="240" w:lineRule="auto"/>
        <w:rPr>
          <w:rFonts w:ascii="Verdana" w:eastAsia="Times New Roman" w:hAnsi="Verdana" w:cs="Times New Roman"/>
          <w:sz w:val="28"/>
          <w:szCs w:val="28"/>
          <w:rtl/>
        </w:rPr>
      </w:pPr>
      <w:r>
        <w:rPr>
          <w:rFonts w:ascii="Verdana" w:eastAsia="Times New Roman" w:hAnsi="Verdana" w:cs="Times New Roman" w:hint="cs"/>
          <w:sz w:val="28"/>
          <w:szCs w:val="28"/>
          <w:rtl/>
        </w:rPr>
        <w:t>موقع</w:t>
      </w:r>
      <w:r w:rsidR="00BA7AC1">
        <w:rPr>
          <w:rFonts w:ascii="Verdana" w:eastAsia="Times New Roman" w:hAnsi="Verdana" w:cs="Times New Roman"/>
          <w:sz w:val="28"/>
          <w:szCs w:val="28"/>
        </w:rPr>
        <w:t xml:space="preserve"> </w:t>
      </w:r>
      <w:r w:rsidR="00BA7AC1">
        <w:rPr>
          <w:rFonts w:ascii="Verdana" w:eastAsia="Times New Roman" w:hAnsi="Verdana" w:cs="Times New Roman" w:hint="cs"/>
          <w:sz w:val="28"/>
          <w:szCs w:val="28"/>
          <w:rtl/>
        </w:rPr>
        <w:t xml:space="preserve">هيئه </w:t>
      </w:r>
      <w:r>
        <w:rPr>
          <w:rFonts w:ascii="Verdana" w:eastAsia="Times New Roman" w:hAnsi="Verdana" w:cs="Times New Roman" w:hint="cs"/>
          <w:sz w:val="28"/>
          <w:szCs w:val="28"/>
          <w:rtl/>
        </w:rPr>
        <w:t>الخبراء</w:t>
      </w:r>
      <w:r w:rsidR="00BA7AC1">
        <w:rPr>
          <w:rFonts w:ascii="Verdana" w:eastAsia="Times New Roman" w:hAnsi="Verdana" w:cs="Times New Roman" w:hint="cs"/>
          <w:sz w:val="28"/>
          <w:szCs w:val="28"/>
          <w:rtl/>
        </w:rPr>
        <w:t xml:space="preserve"> ب</w:t>
      </w:r>
      <w:r w:rsidR="0076129E">
        <w:rPr>
          <w:rFonts w:ascii="Verdana" w:eastAsia="Times New Roman" w:hAnsi="Verdana" w:cs="Times New Roman" w:hint="cs"/>
          <w:sz w:val="28"/>
          <w:szCs w:val="28"/>
          <w:rtl/>
        </w:rPr>
        <w:t xml:space="preserve">مجلس الوزراء </w:t>
      </w:r>
      <w:r>
        <w:rPr>
          <w:rFonts w:ascii="Verdana" w:eastAsia="Times New Roman" w:hAnsi="Verdana" w:cs="Times New Roman" w:hint="cs"/>
          <w:sz w:val="28"/>
          <w:szCs w:val="28"/>
          <w:rtl/>
        </w:rPr>
        <w:t xml:space="preserve"> للإطلاع على القوانين التي سيتم استعراضها.</w:t>
      </w:r>
    </w:p>
    <w:p w:rsidR="00AD1724" w:rsidRPr="00076C96" w:rsidRDefault="00747361" w:rsidP="00473D49">
      <w:pPr>
        <w:numPr>
          <w:ilvl w:val="0"/>
          <w:numId w:val="2"/>
        </w:numPr>
        <w:shd w:val="clear" w:color="auto" w:fill="FFFFFF"/>
        <w:bidi/>
        <w:spacing w:before="100" w:beforeAutospacing="1" w:after="100" w:afterAutospacing="1" w:line="240" w:lineRule="auto"/>
        <w:contextualSpacing/>
        <w:rPr>
          <w:rFonts w:ascii="Verdana" w:eastAsia="Times New Roman" w:hAnsi="Verdana" w:cs="Times New Roman"/>
          <w:sz w:val="28"/>
          <w:szCs w:val="28"/>
        </w:rPr>
      </w:pPr>
      <w:r>
        <w:rPr>
          <w:rFonts w:ascii="Verdana" w:eastAsia="Times New Roman" w:hAnsi="Verdana" w:cs="Times New Roman" w:hint="cs"/>
          <w:sz w:val="28"/>
          <w:szCs w:val="28"/>
          <w:rtl/>
        </w:rPr>
        <w:t>مدونة الأحكام القضائية.</w:t>
      </w:r>
    </w:p>
    <w:p w:rsidR="00AD1724" w:rsidRDefault="00AD1724" w:rsidP="00AD1724">
      <w:pPr>
        <w:shd w:val="clear" w:color="auto" w:fill="FFFFFF"/>
        <w:bidi/>
        <w:spacing w:before="100" w:beforeAutospacing="1" w:after="100" w:afterAutospacing="1" w:line="240" w:lineRule="auto"/>
        <w:ind w:left="720"/>
        <w:contextualSpacing/>
        <w:rPr>
          <w:rFonts w:ascii="Verdana" w:eastAsia="Times New Roman" w:hAnsi="Verdana" w:cs="Times New Roman"/>
          <w:sz w:val="28"/>
          <w:szCs w:val="28"/>
          <w:rtl/>
        </w:rPr>
      </w:pPr>
    </w:p>
    <w:p w:rsidR="00AD1724" w:rsidRDefault="00AD1724" w:rsidP="00AD1724">
      <w:pPr>
        <w:shd w:val="clear" w:color="auto" w:fill="FFFFFF"/>
        <w:bidi/>
        <w:spacing w:before="100" w:beforeAutospacing="1" w:after="100" w:afterAutospacing="1" w:line="240" w:lineRule="auto"/>
        <w:ind w:left="720"/>
        <w:contextualSpacing/>
        <w:rPr>
          <w:rFonts w:ascii="Verdana" w:eastAsia="Times New Roman" w:hAnsi="Verdana" w:cs="Times New Roman"/>
          <w:b/>
          <w:bCs/>
          <w:sz w:val="28"/>
          <w:szCs w:val="28"/>
          <w:rtl/>
        </w:rPr>
      </w:pPr>
      <w:r>
        <w:rPr>
          <w:rFonts w:ascii="Verdana" w:eastAsia="Times New Roman" w:hAnsi="Verdana" w:cs="Times New Roman"/>
          <w:b/>
          <w:bCs/>
          <w:sz w:val="28"/>
          <w:szCs w:val="28"/>
          <w:rtl/>
        </w:rPr>
        <w:t>المراجع الإضافية:</w:t>
      </w:r>
    </w:p>
    <w:p w:rsidR="00AD1724" w:rsidRDefault="00747361" w:rsidP="00747361">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تنظيم الإدارة العامة ونشاطها, رسلان أنور أحمد .</w:t>
      </w:r>
    </w:p>
    <w:p w:rsidR="00747361" w:rsidRDefault="00747361" w:rsidP="00747361">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سليمان الطماوي, القانون الإداري.</w:t>
      </w:r>
    </w:p>
    <w:p w:rsidR="00747361" w:rsidRDefault="00747361" w:rsidP="00747361">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محمود عاطف البنا,مبادئ القانون الإداري.</w:t>
      </w:r>
    </w:p>
    <w:p w:rsidR="00123508" w:rsidRDefault="00123508" w:rsidP="00123508">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دروس في القانون الإداري, عبد الفتاح الحسن.</w:t>
      </w:r>
    </w:p>
    <w:p w:rsidR="00123508" w:rsidRDefault="00123508" w:rsidP="00123508">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دروس في القانون الإداري السعودي, عبد الله الفوزان.</w:t>
      </w:r>
    </w:p>
    <w:p w:rsidR="00123508" w:rsidRDefault="00123508" w:rsidP="00123508">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دورية معهد الإدارة العامة</w:t>
      </w:r>
      <w:r>
        <w:rPr>
          <w:rFonts w:ascii="Verdana" w:eastAsia="Times New Roman" w:hAnsi="Verdana" w:cs="Times New Roman"/>
          <w:sz w:val="28"/>
          <w:szCs w:val="28"/>
        </w:rPr>
        <w:t>.</w:t>
      </w:r>
    </w:p>
    <w:p w:rsidR="00123508" w:rsidRDefault="00123508" w:rsidP="00123508">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مجلة الحقوق الكويتيه</w:t>
      </w:r>
      <w:r>
        <w:rPr>
          <w:rFonts w:ascii="Verdana" w:eastAsia="Times New Roman" w:hAnsi="Verdana" w:cs="Times New Roman"/>
          <w:sz w:val="28"/>
          <w:szCs w:val="28"/>
        </w:rPr>
        <w:t>.</w:t>
      </w:r>
    </w:p>
    <w:p w:rsidR="00123508" w:rsidRPr="00123508" w:rsidRDefault="00123508" w:rsidP="00123508">
      <w:pPr>
        <w:pStyle w:val="ListParagraph"/>
        <w:numPr>
          <w:ilvl w:val="0"/>
          <w:numId w:val="3"/>
        </w:numPr>
        <w:shd w:val="clear" w:color="auto" w:fill="FFFFFF"/>
        <w:bidi/>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hint="cs"/>
          <w:sz w:val="28"/>
          <w:szCs w:val="28"/>
          <w:rtl/>
        </w:rPr>
        <w:t>مجلة القانون العام</w:t>
      </w:r>
      <w:r>
        <w:rPr>
          <w:rFonts w:ascii="Verdana" w:eastAsia="Times New Roman" w:hAnsi="Verdana" w:cs="Times New Roman"/>
          <w:sz w:val="28"/>
          <w:szCs w:val="28"/>
        </w:rPr>
        <w:t>.RJP</w:t>
      </w:r>
    </w:p>
    <w:p w:rsidR="00AD1724" w:rsidRDefault="00AD1724" w:rsidP="00AD1724">
      <w:pPr>
        <w:shd w:val="clear" w:color="auto" w:fill="FFFFFF"/>
        <w:bidi/>
        <w:spacing w:before="100" w:beforeAutospacing="1" w:after="100" w:afterAutospacing="1" w:line="240" w:lineRule="auto"/>
        <w:rPr>
          <w:rFonts w:ascii="Verdana" w:eastAsia="Times New Roman" w:hAnsi="Verdana" w:cs="Times New Roman"/>
          <w:b/>
          <w:bCs/>
          <w:sz w:val="28"/>
          <w:szCs w:val="28"/>
          <w:rtl/>
        </w:rPr>
      </w:pPr>
      <w:r>
        <w:rPr>
          <w:rFonts w:ascii="Verdana" w:eastAsia="Times New Roman" w:hAnsi="Verdana" w:cs="Times New Roman"/>
          <w:b/>
          <w:bCs/>
          <w:sz w:val="28"/>
          <w:szCs w:val="28"/>
          <w:rtl/>
        </w:rPr>
        <w:t xml:space="preserve">التعليمات المتعلقة بتنظيم وسير المحاضرات: </w:t>
      </w:r>
    </w:p>
    <w:p w:rsidR="00AD1724" w:rsidRDefault="00AD1724" w:rsidP="00AD1724">
      <w:pPr>
        <w:numPr>
          <w:ilvl w:val="0"/>
          <w:numId w:val="4"/>
        </w:numPr>
        <w:shd w:val="clear" w:color="auto" w:fill="FFFFFF"/>
        <w:bidi/>
        <w:spacing w:before="100" w:beforeAutospacing="1" w:after="100" w:afterAutospacing="1" w:line="240" w:lineRule="auto"/>
        <w:contextualSpacing/>
        <w:rPr>
          <w:rFonts w:ascii="Verdana" w:eastAsia="Times New Roman" w:hAnsi="Verdana" w:cs="Times New Roman"/>
          <w:sz w:val="28"/>
          <w:szCs w:val="28"/>
          <w:rtl/>
        </w:rPr>
      </w:pPr>
      <w:r>
        <w:rPr>
          <w:rFonts w:ascii="Verdana" w:eastAsia="Times New Roman" w:hAnsi="Verdana" w:cs="Times New Roman"/>
          <w:sz w:val="28"/>
          <w:szCs w:val="28"/>
          <w:rtl/>
        </w:rPr>
        <w:lastRenderedPageBreak/>
        <w:t xml:space="preserve">التقيد بالحضور في أوقات المحاضرات. </w:t>
      </w:r>
    </w:p>
    <w:p w:rsidR="00AD1724" w:rsidRDefault="00AD1724" w:rsidP="00AD1724">
      <w:pPr>
        <w:numPr>
          <w:ilvl w:val="0"/>
          <w:numId w:val="4"/>
        </w:numPr>
        <w:shd w:val="clear" w:color="auto" w:fill="FFFFFF"/>
        <w:bidi/>
        <w:spacing w:before="100" w:beforeAutospacing="1" w:after="100" w:afterAutospacing="1" w:line="240" w:lineRule="auto"/>
        <w:contextualSpacing/>
        <w:rPr>
          <w:rFonts w:ascii="Verdana" w:eastAsia="Times New Roman" w:hAnsi="Verdana" w:cs="Times New Roman"/>
          <w:sz w:val="28"/>
          <w:szCs w:val="28"/>
        </w:rPr>
      </w:pPr>
      <w:r>
        <w:rPr>
          <w:rFonts w:ascii="Verdana" w:eastAsia="Times New Roman" w:hAnsi="Verdana" w:cs="Times New Roman"/>
          <w:sz w:val="28"/>
          <w:szCs w:val="28"/>
          <w:rtl/>
        </w:rPr>
        <w:t xml:space="preserve">فيما يتعلق باحتساب الحرمان والحضور والغياب, تُطبق أنظمة ولوائح الجامعة ذات العلاقة. </w:t>
      </w:r>
    </w:p>
    <w:p w:rsidR="00AD1724" w:rsidRPr="00534DB0" w:rsidRDefault="00AD1724" w:rsidP="00534DB0">
      <w:pPr>
        <w:numPr>
          <w:ilvl w:val="0"/>
          <w:numId w:val="4"/>
        </w:numPr>
        <w:shd w:val="clear" w:color="auto" w:fill="FFFFFF"/>
        <w:bidi/>
        <w:spacing w:before="100" w:beforeAutospacing="1" w:after="100" w:afterAutospacing="1" w:line="240" w:lineRule="auto"/>
        <w:contextualSpacing/>
        <w:rPr>
          <w:rFonts w:ascii="Verdana" w:eastAsia="Times New Roman" w:hAnsi="Verdana" w:cs="Times New Roman"/>
          <w:sz w:val="28"/>
          <w:szCs w:val="28"/>
        </w:rPr>
      </w:pPr>
      <w:r>
        <w:rPr>
          <w:rFonts w:ascii="Verdana" w:eastAsia="Times New Roman" w:hAnsi="Verdana" w:cs="Times New Roman"/>
          <w:sz w:val="28"/>
          <w:szCs w:val="28"/>
          <w:rtl/>
        </w:rPr>
        <w:t xml:space="preserve">المحاضرات لا تغني عن الكتاب المقرر والعكس صحيح. </w:t>
      </w:r>
      <w:r w:rsidRPr="00534DB0">
        <w:rPr>
          <w:rFonts w:ascii="Verdana" w:eastAsia="Times New Roman" w:hAnsi="Verdana" w:cs="Times New Roman"/>
          <w:sz w:val="28"/>
          <w:szCs w:val="28"/>
          <w:rtl/>
        </w:rPr>
        <w:t xml:space="preserve"> </w:t>
      </w:r>
    </w:p>
    <w:p w:rsidR="00AD1724" w:rsidRDefault="00AD1724" w:rsidP="00AD1724">
      <w:pPr>
        <w:numPr>
          <w:ilvl w:val="0"/>
          <w:numId w:val="4"/>
        </w:numPr>
        <w:shd w:val="clear" w:color="auto" w:fill="FFFFFF"/>
        <w:bidi/>
        <w:spacing w:before="100" w:beforeAutospacing="1" w:after="100" w:afterAutospacing="1" w:line="240" w:lineRule="auto"/>
        <w:contextualSpacing/>
        <w:rPr>
          <w:rFonts w:ascii="Verdana" w:eastAsia="Times New Roman" w:hAnsi="Verdana" w:cs="Times New Roman"/>
          <w:sz w:val="28"/>
          <w:szCs w:val="28"/>
        </w:rPr>
      </w:pPr>
      <w:r>
        <w:rPr>
          <w:rFonts w:ascii="Verdana" w:eastAsia="Times New Roman" w:hAnsi="Verdana" w:cs="Times New Roman"/>
          <w:sz w:val="28"/>
          <w:szCs w:val="28"/>
          <w:rtl/>
        </w:rPr>
        <w:t xml:space="preserve">للطالبة تدوين الملاحظات خلال المحاضرة كتابياً, بخط اليد أو استخدام الكمبيوتر أو أجهزة </w:t>
      </w:r>
      <w:r>
        <w:rPr>
          <w:rFonts w:ascii="Verdana" w:eastAsia="Times New Roman" w:hAnsi="Verdana" w:cs="Times New Roman"/>
          <w:sz w:val="28"/>
          <w:szCs w:val="28"/>
        </w:rPr>
        <w:t xml:space="preserve">Tablet” </w:t>
      </w:r>
      <w:r>
        <w:rPr>
          <w:rFonts w:ascii="Verdana" w:eastAsia="Times New Roman" w:hAnsi="Verdana" w:cs="Times New Roman"/>
          <w:sz w:val="28"/>
          <w:szCs w:val="28"/>
          <w:rtl/>
        </w:rPr>
        <w:t>"</w:t>
      </w:r>
      <w:r>
        <w:rPr>
          <w:rFonts w:ascii="Verdana" w:eastAsia="Times New Roman" w:hAnsi="Verdana" w:cs="Times New Roman"/>
          <w:sz w:val="28"/>
          <w:szCs w:val="28"/>
        </w:rPr>
        <w:t>.</w:t>
      </w:r>
    </w:p>
    <w:p w:rsidR="00AD1724" w:rsidRDefault="00AD1724" w:rsidP="00AD1724">
      <w:pPr>
        <w:numPr>
          <w:ilvl w:val="0"/>
          <w:numId w:val="4"/>
        </w:numPr>
        <w:shd w:val="clear" w:color="auto" w:fill="FFFFFF"/>
        <w:bidi/>
        <w:spacing w:before="100" w:beforeAutospacing="1" w:after="100" w:afterAutospacing="1" w:line="240" w:lineRule="auto"/>
        <w:contextualSpacing/>
        <w:rPr>
          <w:rFonts w:ascii="Verdana" w:eastAsia="Times New Roman" w:hAnsi="Verdana" w:cs="Times New Roman"/>
          <w:sz w:val="28"/>
          <w:szCs w:val="28"/>
        </w:rPr>
      </w:pPr>
      <w:r>
        <w:rPr>
          <w:rFonts w:ascii="Verdana" w:eastAsia="Times New Roman" w:hAnsi="Verdana" w:cs="Times New Roman"/>
          <w:sz w:val="28"/>
          <w:szCs w:val="28"/>
          <w:rtl/>
        </w:rPr>
        <w:t xml:space="preserve">يحظر التصوير والتسجيل والنسخ </w:t>
      </w:r>
      <w:r w:rsidR="000D506F">
        <w:rPr>
          <w:rFonts w:ascii="Verdana" w:eastAsia="Times New Roman" w:hAnsi="Verdana" w:cs="Times New Roman" w:hint="cs"/>
          <w:sz w:val="28"/>
          <w:szCs w:val="28"/>
          <w:rtl/>
        </w:rPr>
        <w:t>أ</w:t>
      </w:r>
      <w:r>
        <w:rPr>
          <w:rFonts w:ascii="Verdana" w:eastAsia="Times New Roman" w:hAnsi="Verdana" w:cs="Times New Roman"/>
          <w:sz w:val="28"/>
          <w:szCs w:val="28"/>
          <w:rtl/>
        </w:rPr>
        <w:t>والنشر لأي تسجيل صوتي أو مرئي للمحاضرات</w:t>
      </w:r>
      <w:r w:rsidR="000D506F">
        <w:rPr>
          <w:rFonts w:ascii="Verdana" w:eastAsia="Times New Roman" w:hAnsi="Verdana" w:cs="Times New Roman"/>
          <w:sz w:val="28"/>
          <w:szCs w:val="28"/>
          <w:rtl/>
        </w:rPr>
        <w:t xml:space="preserve"> أوأي جزء منها</w:t>
      </w:r>
      <w:r>
        <w:rPr>
          <w:rFonts w:ascii="Verdana" w:eastAsia="Times New Roman" w:hAnsi="Verdana" w:cs="Times New Roman"/>
          <w:sz w:val="28"/>
          <w:szCs w:val="28"/>
          <w:rtl/>
        </w:rPr>
        <w:t xml:space="preserve">. ويعد استلام هذا النموذج تعهد من الطالبة بالالتزام بأنظمة المحاضرة. </w:t>
      </w:r>
    </w:p>
    <w:p w:rsidR="00AD1724" w:rsidRDefault="00AD1724" w:rsidP="00AD1724"/>
    <w:p w:rsidR="00BD7B1C" w:rsidRDefault="00BD7B1C" w:rsidP="00AD1724">
      <w:pPr>
        <w:tabs>
          <w:tab w:val="left" w:pos="825"/>
        </w:tabs>
        <w:rPr>
          <w:rtl/>
        </w:rPr>
      </w:pPr>
    </w:p>
    <w:sectPr w:rsidR="00BD7B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87" w:rsidRDefault="009E7287" w:rsidP="003B7BCB">
      <w:pPr>
        <w:spacing w:after="0" w:line="240" w:lineRule="auto"/>
      </w:pPr>
      <w:r>
        <w:separator/>
      </w:r>
    </w:p>
  </w:endnote>
  <w:endnote w:type="continuationSeparator" w:id="0">
    <w:p w:rsidR="009E7287" w:rsidRDefault="009E7287" w:rsidP="003B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629745"/>
      <w:docPartObj>
        <w:docPartGallery w:val="Page Numbers (Bottom of Page)"/>
        <w:docPartUnique/>
      </w:docPartObj>
    </w:sdtPr>
    <w:sdtEndPr>
      <w:rPr>
        <w:noProof/>
      </w:rPr>
    </w:sdtEndPr>
    <w:sdtContent>
      <w:p w:rsidR="003B7BCB" w:rsidRDefault="003B7BCB">
        <w:pPr>
          <w:pStyle w:val="Footer"/>
          <w:jc w:val="center"/>
        </w:pPr>
        <w:r>
          <w:fldChar w:fldCharType="begin"/>
        </w:r>
        <w:r>
          <w:instrText xml:space="preserve"> PAGE   \* MERGEFORMAT </w:instrText>
        </w:r>
        <w:r>
          <w:fldChar w:fldCharType="separate"/>
        </w:r>
        <w:r w:rsidR="000C277F">
          <w:rPr>
            <w:noProof/>
          </w:rPr>
          <w:t>1</w:t>
        </w:r>
        <w:r>
          <w:rPr>
            <w:noProof/>
          </w:rPr>
          <w:fldChar w:fldCharType="end"/>
        </w:r>
      </w:p>
    </w:sdtContent>
  </w:sdt>
  <w:p w:rsidR="003B7BCB" w:rsidRDefault="003B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87" w:rsidRDefault="009E7287" w:rsidP="003B7BCB">
      <w:pPr>
        <w:spacing w:after="0" w:line="240" w:lineRule="auto"/>
      </w:pPr>
      <w:r>
        <w:separator/>
      </w:r>
    </w:p>
  </w:footnote>
  <w:footnote w:type="continuationSeparator" w:id="0">
    <w:p w:rsidR="009E7287" w:rsidRDefault="009E7287" w:rsidP="003B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498"/>
    <w:multiLevelType w:val="hybridMultilevel"/>
    <w:tmpl w:val="4E021CFC"/>
    <w:lvl w:ilvl="0" w:tplc="9ED6156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6630E95"/>
    <w:multiLevelType w:val="hybridMultilevel"/>
    <w:tmpl w:val="50A0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0E0EAD"/>
    <w:multiLevelType w:val="hybridMultilevel"/>
    <w:tmpl w:val="88F22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7C0500"/>
    <w:multiLevelType w:val="hybridMultilevel"/>
    <w:tmpl w:val="F4CE1F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EA"/>
    <w:rsid w:val="00076C96"/>
    <w:rsid w:val="000C277F"/>
    <w:rsid w:val="000C7EA6"/>
    <w:rsid w:val="000D506F"/>
    <w:rsid w:val="000E46EA"/>
    <w:rsid w:val="00123508"/>
    <w:rsid w:val="003211D8"/>
    <w:rsid w:val="003B7BCB"/>
    <w:rsid w:val="00473D49"/>
    <w:rsid w:val="00513A8C"/>
    <w:rsid w:val="00534DB0"/>
    <w:rsid w:val="005A43A8"/>
    <w:rsid w:val="007302D7"/>
    <w:rsid w:val="00747361"/>
    <w:rsid w:val="0076129E"/>
    <w:rsid w:val="007D5374"/>
    <w:rsid w:val="0081040C"/>
    <w:rsid w:val="008261A4"/>
    <w:rsid w:val="0086524F"/>
    <w:rsid w:val="009717B8"/>
    <w:rsid w:val="009E7287"/>
    <w:rsid w:val="00A356BF"/>
    <w:rsid w:val="00A67775"/>
    <w:rsid w:val="00AD1724"/>
    <w:rsid w:val="00AE0A74"/>
    <w:rsid w:val="00BA7AC1"/>
    <w:rsid w:val="00BD7B1C"/>
    <w:rsid w:val="00C746B0"/>
    <w:rsid w:val="00D4023A"/>
    <w:rsid w:val="00DC34CE"/>
    <w:rsid w:val="00E20B11"/>
    <w:rsid w:val="00EC5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6106B-5FCE-45E8-B497-B2CB1451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17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24"/>
    <w:pPr>
      <w:spacing w:after="200" w:line="276" w:lineRule="auto"/>
      <w:ind w:left="720"/>
      <w:contextualSpacing/>
    </w:pPr>
    <w:rPr>
      <w:rFonts w:ascii="Calibri" w:eastAsia="Calibri" w:hAnsi="Calibri" w:cs="Arial"/>
    </w:rPr>
  </w:style>
  <w:style w:type="table" w:styleId="TableGrid">
    <w:name w:val="Table Grid"/>
    <w:basedOn w:val="TableNormal"/>
    <w:uiPriority w:val="39"/>
    <w:rsid w:val="00AD17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D172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D1724"/>
    <w:rPr>
      <w:color w:val="0000FF"/>
      <w:u w:val="single"/>
    </w:rPr>
  </w:style>
  <w:style w:type="paragraph" w:styleId="Header">
    <w:name w:val="header"/>
    <w:basedOn w:val="Normal"/>
    <w:link w:val="HeaderChar"/>
    <w:uiPriority w:val="99"/>
    <w:unhideWhenUsed/>
    <w:rsid w:val="003B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BCB"/>
  </w:style>
  <w:style w:type="paragraph" w:styleId="Footer">
    <w:name w:val="footer"/>
    <w:basedOn w:val="Normal"/>
    <w:link w:val="FooterChar"/>
    <w:uiPriority w:val="99"/>
    <w:unhideWhenUsed/>
    <w:rsid w:val="003B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CB"/>
  </w:style>
  <w:style w:type="character" w:styleId="Mention">
    <w:name w:val="Mention"/>
    <w:basedOn w:val="DefaultParagraphFont"/>
    <w:uiPriority w:val="99"/>
    <w:semiHidden/>
    <w:unhideWhenUsed/>
    <w:rsid w:val="00AE0A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sabti@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alotaibi</dc:creator>
  <cp:keywords/>
  <dc:description/>
  <cp:lastModifiedBy>sarah</cp:lastModifiedBy>
  <cp:revision>2</cp:revision>
  <dcterms:created xsi:type="dcterms:W3CDTF">2017-09-26T03:39:00Z</dcterms:created>
  <dcterms:modified xsi:type="dcterms:W3CDTF">2017-09-26T03:39:00Z</dcterms:modified>
</cp:coreProperties>
</file>