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42" w:rsidRPr="005B4C5A" w:rsidRDefault="009D001F" w:rsidP="000B276E">
      <w:pPr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</w:pPr>
      <w:r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التجربة : </w:t>
      </w:r>
      <w:r w:rsidR="000B276E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 xml:space="preserve">تقرير تجربة </w:t>
      </w:r>
      <w:r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تأثير </w:t>
      </w:r>
      <w:proofErr w:type="spellStart"/>
      <w:r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>الاشعة</w:t>
      </w:r>
      <w:proofErr w:type="spellEnd"/>
      <w:r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 فوق البنفسجية على </w:t>
      </w:r>
      <w:r w:rsidR="009C0756"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نسبة </w:t>
      </w:r>
      <w:proofErr w:type="spellStart"/>
      <w:r w:rsidR="009C0756"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>الانبات</w:t>
      </w:r>
      <w:proofErr w:type="spellEnd"/>
      <w:r w:rsidR="005B4C5A" w:rsidRPr="005B4C5A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 </w:t>
      </w:r>
      <w:r w:rsidR="000B276E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>(1433-1434)</w:t>
      </w:r>
    </w:p>
    <w:p w:rsidR="00DC1846" w:rsidRDefault="00C24F42" w:rsidP="000B1CAD">
      <w:pPr>
        <w:rPr>
          <w:rFonts w:asciiTheme="majorBidi" w:hAnsiTheme="majorBidi" w:cstheme="majorBidi" w:hint="cs"/>
          <w:b/>
          <w:bCs/>
          <w:color w:val="FF0000"/>
          <w:sz w:val="44"/>
          <w:szCs w:val="44"/>
          <w:rtl/>
        </w:rPr>
      </w:pPr>
      <w:r w:rsidRPr="00F03A51">
        <w:rPr>
          <w:rFonts w:asciiTheme="majorBidi" w:hAnsiTheme="majorBidi" w:cstheme="majorBidi"/>
          <w:b/>
          <w:bCs/>
          <w:color w:val="FF0000"/>
          <w:sz w:val="44"/>
          <w:szCs w:val="44"/>
          <w:rtl/>
        </w:rPr>
        <w:t>النتائج:</w:t>
      </w:r>
    </w:p>
    <w:tbl>
      <w:tblPr>
        <w:tblStyle w:val="a3"/>
        <w:bidiVisual/>
        <w:tblW w:w="0" w:type="auto"/>
        <w:tblLook w:val="04A0"/>
      </w:tblPr>
      <w:tblGrid>
        <w:gridCol w:w="1217"/>
        <w:gridCol w:w="1217"/>
        <w:gridCol w:w="1217"/>
        <w:gridCol w:w="1469"/>
        <w:gridCol w:w="1218"/>
        <w:gridCol w:w="1469"/>
      </w:tblGrid>
      <w:tr w:rsidR="00476A15" w:rsidRPr="00476A15" w:rsidTr="0004798A">
        <w:tc>
          <w:tcPr>
            <w:tcW w:w="1217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686" w:type="dxa"/>
            <w:gridSpan w:val="2"/>
          </w:tcPr>
          <w:p w:rsidR="00476A15" w:rsidRDefault="00476A15" w:rsidP="000B1CAD">
            <w:pPr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كنترول</w:t>
            </w:r>
          </w:p>
        </w:tc>
        <w:tc>
          <w:tcPr>
            <w:tcW w:w="2687" w:type="dxa"/>
            <w:gridSpan w:val="2"/>
          </w:tcPr>
          <w:p w:rsid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UV-B(302 nm)</w:t>
            </w:r>
          </w:p>
        </w:tc>
      </w:tr>
      <w:tr w:rsidR="00476A15" w:rsidRPr="00476A15" w:rsidTr="00476A15">
        <w:tc>
          <w:tcPr>
            <w:tcW w:w="1217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عدد البذور النابتة</w:t>
            </w:r>
          </w:p>
        </w:tc>
        <w:tc>
          <w:tcPr>
            <w:tcW w:w="1469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المحتوى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الرطوبي</w:t>
            </w:r>
            <w:proofErr w:type="spellEnd"/>
          </w:p>
        </w:tc>
        <w:tc>
          <w:tcPr>
            <w:tcW w:w="1218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عدد البذور النابتة</w:t>
            </w:r>
          </w:p>
        </w:tc>
        <w:tc>
          <w:tcPr>
            <w:tcW w:w="1469" w:type="dxa"/>
          </w:tcPr>
          <w:p w:rsidR="00476A15" w:rsidRPr="00476A15" w:rsidRDefault="00476A15" w:rsidP="000B1CAD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المحتوى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الرطوبي</w:t>
            </w:r>
            <w:proofErr w:type="spellEnd"/>
          </w:p>
        </w:tc>
      </w:tr>
      <w:tr w:rsidR="00476A15" w:rsidRPr="00476A15" w:rsidTr="00476A15">
        <w:tc>
          <w:tcPr>
            <w:tcW w:w="1217" w:type="dxa"/>
            <w:vMerge w:val="restart"/>
          </w:tcPr>
          <w:p w:rsidR="00476A15" w:rsidRPr="00476A15" w:rsidRDefault="00476A15" w:rsidP="00476A15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76A15">
              <w:rPr>
                <w:rFonts w:ascii="Times New Roman" w:hAnsi="Times New Roman" w:cs="Times New Roman"/>
                <w:sz w:val="32"/>
                <w:szCs w:val="32"/>
                <w:rtl/>
              </w:rPr>
              <w:t>فول</w:t>
            </w:r>
          </w:p>
        </w:tc>
        <w:tc>
          <w:tcPr>
            <w:tcW w:w="1217" w:type="dxa"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476A15">
              <w:rPr>
                <w:rFonts w:asciiTheme="majorBidi" w:hAnsiTheme="majorBidi" w:cstheme="majorBidi" w:hint="cs"/>
                <w:sz w:val="32"/>
                <w:szCs w:val="32"/>
                <w:rtl/>
              </w:rPr>
              <w:t>منيرة</w:t>
            </w:r>
          </w:p>
        </w:tc>
        <w:tc>
          <w:tcPr>
            <w:tcW w:w="1217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10%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93,12%</w:t>
            </w:r>
          </w:p>
        </w:tc>
        <w:tc>
          <w:tcPr>
            <w:tcW w:w="1218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0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93</w:t>
            </w: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</w:rPr>
              <w:t>,</w:t>
            </w: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69%</w:t>
            </w:r>
          </w:p>
        </w:tc>
      </w:tr>
      <w:tr w:rsidR="00476A15" w:rsidRPr="00476A15" w:rsidTr="00476A15">
        <w:tc>
          <w:tcPr>
            <w:tcW w:w="1217" w:type="dxa"/>
            <w:vMerge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روان</w:t>
            </w:r>
            <w:proofErr w:type="spellEnd"/>
          </w:p>
        </w:tc>
        <w:tc>
          <w:tcPr>
            <w:tcW w:w="1217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80%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1,96%</w:t>
            </w:r>
          </w:p>
        </w:tc>
        <w:tc>
          <w:tcPr>
            <w:tcW w:w="1218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10%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2,37%</w:t>
            </w:r>
          </w:p>
        </w:tc>
      </w:tr>
      <w:tr w:rsidR="00476A15" w:rsidRPr="00476A15" w:rsidTr="00476A15">
        <w:tc>
          <w:tcPr>
            <w:tcW w:w="1217" w:type="dxa"/>
            <w:vMerge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سارة</w:t>
            </w:r>
          </w:p>
        </w:tc>
        <w:tc>
          <w:tcPr>
            <w:tcW w:w="1217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93%</w:t>
            </w:r>
          </w:p>
        </w:tc>
        <w:tc>
          <w:tcPr>
            <w:tcW w:w="1218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0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1,04%</w:t>
            </w:r>
          </w:p>
        </w:tc>
      </w:tr>
      <w:tr w:rsidR="00476A15" w:rsidRPr="00476A15" w:rsidTr="00476A15">
        <w:tc>
          <w:tcPr>
            <w:tcW w:w="1217" w:type="dxa"/>
            <w:vMerge w:val="restart"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شعير</w:t>
            </w:r>
          </w:p>
        </w:tc>
        <w:tc>
          <w:tcPr>
            <w:tcW w:w="1217" w:type="dxa"/>
          </w:tcPr>
          <w:p w:rsidR="00476A15" w:rsidRDefault="00476A15" w:rsidP="00476A15">
            <w:pPr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منى</w:t>
            </w:r>
          </w:p>
        </w:tc>
        <w:tc>
          <w:tcPr>
            <w:tcW w:w="1217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93,5%</w:t>
            </w:r>
          </w:p>
        </w:tc>
        <w:tc>
          <w:tcPr>
            <w:tcW w:w="1218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60%</w:t>
            </w:r>
          </w:p>
        </w:tc>
        <w:tc>
          <w:tcPr>
            <w:tcW w:w="1469" w:type="dxa"/>
          </w:tcPr>
          <w:p w:rsidR="00476A15" w:rsidRPr="000141A1" w:rsidRDefault="00476A15" w:rsidP="00476A15">
            <w:pPr>
              <w:jc w:val="center"/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</w:pPr>
            <w:r w:rsidRPr="000141A1">
              <w:rPr>
                <w:rFonts w:ascii="Andalus" w:hAnsi="Andalus" w:cs="Andalus"/>
                <w:color w:val="000000" w:themeColor="text1"/>
                <w:sz w:val="40"/>
                <w:szCs w:val="40"/>
                <w:rtl/>
              </w:rPr>
              <w:t>93,3%</w:t>
            </w:r>
          </w:p>
        </w:tc>
      </w:tr>
      <w:tr w:rsidR="00476A15" w:rsidRPr="00476A15" w:rsidTr="00476A15">
        <w:tc>
          <w:tcPr>
            <w:tcW w:w="1217" w:type="dxa"/>
            <w:vMerge/>
          </w:tcPr>
          <w:p w:rsidR="00476A15" w:rsidRPr="00476A15" w:rsidRDefault="00476A15" w:rsidP="00476A15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1217" w:type="dxa"/>
          </w:tcPr>
          <w:p w:rsidR="00476A15" w:rsidRDefault="00476A15" w:rsidP="00476A15">
            <w:pPr>
              <w:rPr>
                <w:rFonts w:asciiTheme="majorBidi" w:hAnsiTheme="majorBidi" w:cstheme="majorBidi" w:hint="cs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لميس</w:t>
            </w:r>
          </w:p>
        </w:tc>
        <w:tc>
          <w:tcPr>
            <w:tcW w:w="1217" w:type="dxa"/>
          </w:tcPr>
          <w:p w:rsidR="00476A15" w:rsidRPr="00F03A51" w:rsidRDefault="00476A15" w:rsidP="00476A15">
            <w:pPr>
              <w:jc w:val="center"/>
              <w:rPr>
                <w:rFonts w:ascii="Andalus" w:hAnsi="Andalus" w:cs="Andalus"/>
                <w:sz w:val="40"/>
                <w:szCs w:val="40"/>
                <w:rtl/>
              </w:rPr>
            </w:pPr>
            <w:r w:rsidRPr="00F03A51">
              <w:rPr>
                <w:rFonts w:ascii="Andalus" w:hAnsi="Andalus" w:cs="Andalus"/>
                <w:sz w:val="40"/>
                <w:szCs w:val="40"/>
                <w:rtl/>
              </w:rPr>
              <w:t>80%</w:t>
            </w:r>
          </w:p>
        </w:tc>
        <w:tc>
          <w:tcPr>
            <w:tcW w:w="1469" w:type="dxa"/>
          </w:tcPr>
          <w:p w:rsidR="00476A15" w:rsidRPr="00F03A51" w:rsidRDefault="00476A15" w:rsidP="00476A15">
            <w:pPr>
              <w:jc w:val="center"/>
              <w:rPr>
                <w:rFonts w:ascii="Andalus" w:hAnsi="Andalus" w:cs="Andalus"/>
                <w:sz w:val="40"/>
                <w:szCs w:val="40"/>
                <w:rtl/>
              </w:rPr>
            </w:pPr>
            <w:r w:rsidRPr="00F03A51">
              <w:rPr>
                <w:rFonts w:ascii="Andalus" w:hAnsi="Andalus" w:cs="Andalus"/>
                <w:sz w:val="40"/>
                <w:szCs w:val="40"/>
                <w:rtl/>
              </w:rPr>
              <w:t>0,96%</w:t>
            </w:r>
          </w:p>
        </w:tc>
        <w:tc>
          <w:tcPr>
            <w:tcW w:w="1218" w:type="dxa"/>
          </w:tcPr>
          <w:p w:rsidR="00476A15" w:rsidRPr="00F03A51" w:rsidRDefault="00476A15" w:rsidP="00476A15">
            <w:pPr>
              <w:jc w:val="center"/>
              <w:rPr>
                <w:rFonts w:ascii="Andalus" w:hAnsi="Andalus" w:cs="Andalus"/>
                <w:sz w:val="40"/>
                <w:szCs w:val="40"/>
                <w:rtl/>
              </w:rPr>
            </w:pPr>
            <w:r w:rsidRPr="00F03A51">
              <w:rPr>
                <w:rFonts w:ascii="Andalus" w:hAnsi="Andalus" w:cs="Andalus"/>
                <w:sz w:val="40"/>
                <w:szCs w:val="40"/>
                <w:rtl/>
              </w:rPr>
              <w:t>0</w:t>
            </w:r>
          </w:p>
        </w:tc>
        <w:tc>
          <w:tcPr>
            <w:tcW w:w="1469" w:type="dxa"/>
          </w:tcPr>
          <w:p w:rsidR="00476A15" w:rsidRPr="00F03A51" w:rsidRDefault="00476A15" w:rsidP="00476A15">
            <w:pPr>
              <w:jc w:val="center"/>
              <w:rPr>
                <w:rFonts w:ascii="Andalus" w:hAnsi="Andalus" w:cs="Andalus"/>
                <w:sz w:val="40"/>
                <w:szCs w:val="40"/>
                <w:rtl/>
              </w:rPr>
            </w:pPr>
            <w:r w:rsidRPr="00F03A51">
              <w:rPr>
                <w:rFonts w:ascii="Andalus" w:hAnsi="Andalus" w:cs="Andalus"/>
                <w:sz w:val="40"/>
                <w:szCs w:val="40"/>
                <w:rtl/>
              </w:rPr>
              <w:t>1,03%</w:t>
            </w:r>
          </w:p>
        </w:tc>
      </w:tr>
    </w:tbl>
    <w:p w:rsidR="00476A15" w:rsidRPr="000B1CAD" w:rsidRDefault="00476A15" w:rsidP="000B1CAD">
      <w:pPr>
        <w:rPr>
          <w:rFonts w:asciiTheme="majorBidi" w:hAnsiTheme="majorBidi" w:cstheme="majorBidi"/>
          <w:b/>
          <w:bCs/>
          <w:color w:val="FF0000"/>
          <w:sz w:val="44"/>
          <w:szCs w:val="44"/>
          <w:rtl/>
        </w:rPr>
      </w:pPr>
    </w:p>
    <w:p w:rsidR="00DC1846" w:rsidRPr="00F03A51" w:rsidRDefault="009D6AC3" w:rsidP="00C24F42">
      <w:pPr>
        <w:rPr>
          <w:rFonts w:asciiTheme="majorBidi" w:hAnsiTheme="majorBidi" w:cstheme="majorBidi"/>
          <w:b/>
          <w:bCs/>
          <w:color w:val="FF0000"/>
          <w:sz w:val="44"/>
          <w:szCs w:val="44"/>
          <w:rtl/>
        </w:rPr>
      </w:pPr>
      <w:r w:rsidRPr="00F03A51">
        <w:rPr>
          <w:rFonts w:asciiTheme="majorBidi" w:hAnsiTheme="majorBidi" w:cstheme="majorBidi" w:hint="cs"/>
          <w:b/>
          <w:bCs/>
          <w:color w:val="FF0000"/>
          <w:sz w:val="44"/>
          <w:szCs w:val="44"/>
          <w:rtl/>
        </w:rPr>
        <w:t>التعليق: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لوحظ أن الأشعة تؤثر على النواة أعظم مما تخلفه نفس الجرعة على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السيتوبلازم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وذلك لكون النواة تحتوي على المادة الوراثية،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وايضا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لوحظ أن الخلايا في مرحلة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الإنقسام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تكون أكثر تأثرا من الخلايا في مرحلة البلوغ والتخصص.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و يؤثر الإشعاع على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الإنقسام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الخلوي في النبات ، وذلك لأنه يؤدي إلى تثبيط انقسامها وذلك بتثبيط بناء الحامض النووي </w:t>
      </w:r>
      <w:r w:rsidRPr="00F03A51">
        <w:rPr>
          <w:rFonts w:ascii="Times New Roman" w:hAnsi="Times New Roman" w:cs="Times New Roman"/>
          <w:sz w:val="28"/>
          <w:szCs w:val="28"/>
        </w:rPr>
        <w:t>DNA</w:t>
      </w:r>
      <w:r w:rsidRPr="00F03A51">
        <w:rPr>
          <w:rFonts w:ascii="Times New Roman" w:hAnsi="Times New Roman" w:cs="Times New Roman"/>
          <w:sz w:val="28"/>
          <w:szCs w:val="28"/>
          <w:rtl/>
        </w:rPr>
        <w:t xml:space="preserve"> ولزوجة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الكروموسومات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.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ودلت الدراسات على أن الجرعة المنخفضة من الإشعاع تسبب تأخيرا في عملية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الأنقسام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الخلوي. غير أن الخلايا سرعان ما ترجع لحالتها الطبيعية بعد زوال المؤثر. 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>أما الجرعة العالية من الإشعاع فإنها تؤدي إلى إيقاف عملية الانقسام الخلوي بصورة تامة تقريبا ولا تسترجع الخلايا حيويتها بعد إزالة التعرض .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و بالنسبة لظروف النمو تسبب زيادة الأشعة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الفوق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البنفسجية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تقزم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النباتات وهذا يلاحظ في النبتات النامية في المرتفعات وقمم الجبال. 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ليس على كل حال الأشعة تقلل من نسبة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الانبات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قد تؤدي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الى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زيادة المحصول وتحسين نموه وتسريعه لذلك استخدمت كنوع من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المطفرات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المفيدة.</w:t>
      </w:r>
    </w:p>
    <w:p w:rsidR="009D6AC3" w:rsidRPr="00F03A51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3A51">
        <w:rPr>
          <w:rFonts w:ascii="Times New Roman" w:hAnsi="Times New Roman" w:cs="Times New Roman"/>
          <w:sz w:val="28"/>
          <w:szCs w:val="28"/>
          <w:rtl/>
        </w:rPr>
        <w:t xml:space="preserve">وذلك باختلاف نوع </w:t>
      </w:r>
      <w:proofErr w:type="spellStart"/>
      <w:r w:rsidRPr="00F03A51">
        <w:rPr>
          <w:rFonts w:ascii="Times New Roman" w:hAnsi="Times New Roman" w:cs="Times New Roman"/>
          <w:sz w:val="28"/>
          <w:szCs w:val="28"/>
          <w:rtl/>
        </w:rPr>
        <w:t>الاشعة</w:t>
      </w:r>
      <w:proofErr w:type="spellEnd"/>
      <w:r w:rsidRPr="00F03A51">
        <w:rPr>
          <w:rFonts w:ascii="Times New Roman" w:hAnsi="Times New Roman" w:cs="Times New Roman"/>
          <w:sz w:val="28"/>
          <w:szCs w:val="28"/>
          <w:rtl/>
        </w:rPr>
        <w:t xml:space="preserve"> ونوع النبات ومدة التعرض.</w:t>
      </w:r>
    </w:p>
    <w:p w:rsidR="009D6AC3" w:rsidRPr="008E5250" w:rsidRDefault="009D6AC3" w:rsidP="00F03A5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rtl/>
        </w:rPr>
      </w:pPr>
      <w:r w:rsidRPr="008E5250">
        <w:rPr>
          <w:rFonts w:ascii="Times New Roman" w:hAnsi="Times New Roman" w:cs="Times New Roman"/>
          <w:sz w:val="28"/>
          <w:szCs w:val="28"/>
          <w:rtl/>
        </w:rPr>
        <w:t>ويؤدي إلى تشوه في شكل الجذور</w:t>
      </w:r>
      <w:r w:rsidR="008E5250">
        <w:rPr>
          <w:rFonts w:ascii="Times New Roman" w:hAnsi="Times New Roman" w:cs="Times New Roman" w:hint="cs"/>
          <w:sz w:val="28"/>
          <w:szCs w:val="28"/>
          <w:rtl/>
        </w:rPr>
        <w:t>.</w:t>
      </w:r>
      <w:r w:rsidR="008E5250">
        <w:rPr>
          <w:rFonts w:ascii="Times New Roman" w:hAnsi="Times New Roman" w:cs="Times New Roman"/>
          <w:sz w:val="28"/>
          <w:szCs w:val="28"/>
          <w:rtl/>
        </w:rPr>
        <w:t>(</w:t>
      </w:r>
      <w:proofErr w:type="spellStart"/>
      <w:r w:rsidR="008E5250">
        <w:rPr>
          <w:rFonts w:ascii="Times New Roman" w:hAnsi="Times New Roman" w:cs="Times New Roman" w:hint="cs"/>
          <w:sz w:val="28"/>
          <w:szCs w:val="28"/>
          <w:rtl/>
        </w:rPr>
        <w:t>تقرير</w:t>
      </w:r>
      <w:r w:rsidRPr="008E5250">
        <w:rPr>
          <w:rFonts w:ascii="Times New Roman" w:hAnsi="Times New Roman" w:cs="Times New Roman"/>
          <w:sz w:val="28"/>
          <w:szCs w:val="28"/>
          <w:rtl/>
        </w:rPr>
        <w:t>مجموعة</w:t>
      </w:r>
      <w:proofErr w:type="spellEnd"/>
      <w:r w:rsidRPr="008E5250">
        <w:rPr>
          <w:rFonts w:ascii="Times New Roman" w:hAnsi="Times New Roman" w:cs="Times New Roman"/>
          <w:sz w:val="28"/>
          <w:szCs w:val="28"/>
          <w:rtl/>
        </w:rPr>
        <w:t xml:space="preserve"> منى </w:t>
      </w:r>
      <w:proofErr w:type="spellStart"/>
      <w:r w:rsidRPr="008E5250">
        <w:rPr>
          <w:rFonts w:ascii="Times New Roman" w:hAnsi="Times New Roman" w:cs="Times New Roman"/>
          <w:sz w:val="28"/>
          <w:szCs w:val="28"/>
          <w:rtl/>
        </w:rPr>
        <w:t>الغفيص</w:t>
      </w:r>
      <w:proofErr w:type="spellEnd"/>
      <w:r w:rsidR="00A10923" w:rsidRPr="008E5250">
        <w:rPr>
          <w:rFonts w:hint="cs"/>
          <w:sz w:val="32"/>
          <w:szCs w:val="32"/>
          <w:rtl/>
        </w:rPr>
        <w:t xml:space="preserve"> ,</w:t>
      </w:r>
      <w:r w:rsidR="00A10923" w:rsidRPr="008E5250">
        <w:rPr>
          <w:rFonts w:ascii="Times New Roman" w:hAnsi="Times New Roman" w:cs="Times New Roman"/>
          <w:sz w:val="28"/>
          <w:szCs w:val="28"/>
          <w:rtl/>
        </w:rPr>
        <w:t xml:space="preserve">مجموعة </w:t>
      </w:r>
      <w:proofErr w:type="spellStart"/>
      <w:r w:rsidR="00A10923" w:rsidRPr="008E5250">
        <w:rPr>
          <w:rFonts w:ascii="Times New Roman" w:hAnsi="Times New Roman" w:cs="Times New Roman"/>
          <w:sz w:val="28"/>
          <w:szCs w:val="28"/>
          <w:rtl/>
        </w:rPr>
        <w:t>روان</w:t>
      </w:r>
      <w:proofErr w:type="spellEnd"/>
      <w:r w:rsidR="00A10923" w:rsidRPr="008E5250">
        <w:rPr>
          <w:rFonts w:ascii="Times New Roman" w:hAnsi="Times New Roman" w:cs="Times New Roman"/>
          <w:sz w:val="28"/>
          <w:szCs w:val="28"/>
          <w:rtl/>
        </w:rPr>
        <w:t xml:space="preserve"> </w:t>
      </w:r>
      <w:proofErr w:type="spellStart"/>
      <w:r w:rsidR="00A10923" w:rsidRPr="008E5250">
        <w:rPr>
          <w:rFonts w:ascii="Times New Roman" w:hAnsi="Times New Roman" w:cs="Times New Roman"/>
          <w:sz w:val="28"/>
          <w:szCs w:val="28"/>
          <w:rtl/>
        </w:rPr>
        <w:t>العتيبي</w:t>
      </w:r>
      <w:proofErr w:type="spellEnd"/>
      <w:r w:rsidR="00A10923" w:rsidRPr="008E5250">
        <w:rPr>
          <w:rFonts w:ascii="Times New Roman" w:hAnsi="Times New Roman" w:cs="Times New Roman"/>
          <w:sz w:val="28"/>
          <w:szCs w:val="28"/>
          <w:rtl/>
        </w:rPr>
        <w:t xml:space="preserve">,مجموعة </w:t>
      </w:r>
      <w:r w:rsidR="008E5250" w:rsidRPr="008E5250">
        <w:rPr>
          <w:rFonts w:ascii="Times New Roman" w:hAnsi="Times New Roman" w:cs="Times New Roman"/>
          <w:sz w:val="28"/>
          <w:szCs w:val="28"/>
          <w:rtl/>
        </w:rPr>
        <w:t xml:space="preserve">سارة </w:t>
      </w:r>
      <w:proofErr w:type="spellStart"/>
      <w:r w:rsidR="008E5250" w:rsidRPr="008E5250">
        <w:rPr>
          <w:rFonts w:ascii="Times New Roman" w:hAnsi="Times New Roman" w:cs="Times New Roman"/>
          <w:sz w:val="28"/>
          <w:szCs w:val="28"/>
          <w:rtl/>
        </w:rPr>
        <w:t>الدريس</w:t>
      </w:r>
      <w:proofErr w:type="spellEnd"/>
      <w:r w:rsidRPr="008E5250">
        <w:rPr>
          <w:rFonts w:ascii="Times New Roman" w:hAnsi="Times New Roman" w:cs="Times New Roman"/>
          <w:sz w:val="28"/>
          <w:szCs w:val="28"/>
          <w:rtl/>
        </w:rPr>
        <w:t>)</w:t>
      </w:r>
    </w:p>
    <w:p w:rsidR="00DC1846" w:rsidRPr="009D6AC3" w:rsidRDefault="00DC1846" w:rsidP="00F03A51">
      <w:pPr>
        <w:bidi w:val="0"/>
        <w:jc w:val="right"/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9D6AC3">
        <w:rPr>
          <w:rFonts w:ascii="Times New Roman" w:hAnsi="Times New Roman" w:cs="Times New Roman"/>
          <w:color w:val="FF0000"/>
          <w:sz w:val="28"/>
          <w:szCs w:val="28"/>
          <w:rtl/>
        </w:rPr>
        <w:lastRenderedPageBreak/>
        <w:t xml:space="preserve">جدول يوضح نتائج </w:t>
      </w:r>
      <w:proofErr w:type="spellStart"/>
      <w:r w:rsidRPr="009D6AC3">
        <w:rPr>
          <w:rFonts w:ascii="Times New Roman" w:hAnsi="Times New Roman" w:cs="Times New Roman"/>
          <w:color w:val="FF0000"/>
          <w:sz w:val="28"/>
          <w:szCs w:val="28"/>
          <w:rtl/>
        </w:rPr>
        <w:t>للكورسات</w:t>
      </w:r>
      <w:proofErr w:type="spellEnd"/>
      <w:r w:rsidRPr="009D6AC3">
        <w:rPr>
          <w:rFonts w:ascii="Times New Roman" w:hAnsi="Times New Roman" w:cs="Times New Roman"/>
          <w:color w:val="FF0000"/>
          <w:sz w:val="28"/>
          <w:szCs w:val="28"/>
          <w:rtl/>
        </w:rPr>
        <w:t xml:space="preserve"> السابقة:</w:t>
      </w:r>
    </w:p>
    <w:tbl>
      <w:tblPr>
        <w:tblStyle w:val="-6"/>
        <w:bidiVisual/>
        <w:tblW w:w="7875" w:type="dxa"/>
        <w:tblLook w:val="04A0"/>
      </w:tblPr>
      <w:tblGrid>
        <w:gridCol w:w="2625"/>
        <w:gridCol w:w="2625"/>
        <w:gridCol w:w="2625"/>
      </w:tblGrid>
      <w:tr w:rsidR="00C24F42" w:rsidRPr="009D6AC3" w:rsidTr="00E705B3">
        <w:trPr>
          <w:cnfStyle w:val="100000000000"/>
          <w:trHeight w:val="562"/>
        </w:trPr>
        <w:tc>
          <w:tcPr>
            <w:cnfStyle w:val="001000000000"/>
            <w:tcW w:w="2625" w:type="dxa"/>
            <w:hideMark/>
          </w:tcPr>
          <w:p w:rsidR="00C24F42" w:rsidRPr="009D6AC3" w:rsidRDefault="00C24F42" w:rsidP="00C24F42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 xml:space="preserve">نسبة </w:t>
            </w:r>
            <w:proofErr w:type="spellStart"/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>الانبات</w:t>
            </w:r>
            <w:proofErr w:type="spellEnd"/>
          </w:p>
        </w:tc>
        <w:tc>
          <w:tcPr>
            <w:tcW w:w="2625" w:type="dxa"/>
            <w:hideMark/>
          </w:tcPr>
          <w:p w:rsidR="00DB1E31" w:rsidRPr="009D6AC3" w:rsidRDefault="00C24F42" w:rsidP="00C24F42">
            <w:pPr>
              <w:spacing w:after="200" w:line="276" w:lineRule="auto"/>
              <w:cnfStyle w:val="100000000000"/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 xml:space="preserve">الكنترول (المعاملة الضابطة) </w:t>
            </w:r>
          </w:p>
        </w:tc>
        <w:tc>
          <w:tcPr>
            <w:tcW w:w="2625" w:type="dxa"/>
            <w:hideMark/>
          </w:tcPr>
          <w:p w:rsidR="00DB1E31" w:rsidRPr="009D6AC3" w:rsidRDefault="00C24F42" w:rsidP="00C24F42">
            <w:pPr>
              <w:spacing w:after="200" w:line="276" w:lineRule="auto"/>
              <w:cnfStyle w:val="100000000000"/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  <w:t>UV-B</w:t>
            </w: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C24F42" w:rsidRPr="009D6AC3" w:rsidTr="00E705B3">
        <w:trPr>
          <w:cnfStyle w:val="000000100000"/>
          <w:trHeight w:val="562"/>
        </w:trPr>
        <w:tc>
          <w:tcPr>
            <w:cnfStyle w:val="001000000000"/>
            <w:tcW w:w="2625" w:type="dxa"/>
            <w:hideMark/>
          </w:tcPr>
          <w:p w:rsidR="00DB1E31" w:rsidRPr="009D6AC3" w:rsidRDefault="00C24F42" w:rsidP="00C24F42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>فول</w:t>
            </w:r>
          </w:p>
        </w:tc>
        <w:tc>
          <w:tcPr>
            <w:tcW w:w="2625" w:type="dxa"/>
            <w:hideMark/>
          </w:tcPr>
          <w:p w:rsidR="00C24F42" w:rsidRPr="009D6AC3" w:rsidRDefault="00B03087" w:rsidP="00C24F42">
            <w:pPr>
              <w:spacing w:after="200" w:line="276" w:lineRule="auto"/>
              <w:cnfStyle w:val="00000010000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7</w:t>
            </w:r>
            <w:r w:rsidR="009E4F87"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0%</w:t>
            </w:r>
          </w:p>
        </w:tc>
        <w:tc>
          <w:tcPr>
            <w:tcW w:w="2625" w:type="dxa"/>
            <w:hideMark/>
          </w:tcPr>
          <w:p w:rsidR="00C24F42" w:rsidRPr="009D6AC3" w:rsidRDefault="00B03087" w:rsidP="00C24F42">
            <w:pPr>
              <w:spacing w:after="200" w:line="276" w:lineRule="auto"/>
              <w:cnfStyle w:val="000000100000"/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</w:pPr>
            <w:r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5</w:t>
            </w:r>
            <w:r w:rsidR="009E4F87"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0%</w:t>
            </w:r>
          </w:p>
        </w:tc>
      </w:tr>
      <w:tr w:rsidR="00E705B3" w:rsidRPr="009D6AC3" w:rsidTr="00E705B3">
        <w:trPr>
          <w:cnfStyle w:val="000000010000"/>
          <w:trHeight w:val="562"/>
        </w:trPr>
        <w:tc>
          <w:tcPr>
            <w:cnfStyle w:val="001000000000"/>
            <w:tcW w:w="2625" w:type="dxa"/>
            <w:hideMark/>
          </w:tcPr>
          <w:p w:rsidR="00E705B3" w:rsidRPr="009D6AC3" w:rsidRDefault="00E705B3" w:rsidP="00C24F42">
            <w:pPr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</w:pPr>
            <w:r w:rsidRPr="009D6AC3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  <w:rtl/>
              </w:rPr>
              <w:t>قمح</w:t>
            </w:r>
          </w:p>
        </w:tc>
        <w:tc>
          <w:tcPr>
            <w:tcW w:w="2625" w:type="dxa"/>
            <w:hideMark/>
          </w:tcPr>
          <w:p w:rsidR="00E705B3" w:rsidRPr="009D6AC3" w:rsidRDefault="00B03087" w:rsidP="00C24F42">
            <w:pPr>
              <w:cnfStyle w:val="00000001000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10</w:t>
            </w:r>
            <w:r w:rsidR="009E4F87"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0%</w:t>
            </w:r>
          </w:p>
        </w:tc>
        <w:tc>
          <w:tcPr>
            <w:tcW w:w="2625" w:type="dxa"/>
            <w:hideMark/>
          </w:tcPr>
          <w:p w:rsidR="00E705B3" w:rsidRPr="009D6AC3" w:rsidRDefault="00B03087" w:rsidP="00C24F42">
            <w:pPr>
              <w:cnfStyle w:val="00000001000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1</w:t>
            </w:r>
            <w:r w:rsidR="009E4F87"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0</w:t>
            </w:r>
            <w:r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0</w:t>
            </w:r>
            <w:r w:rsidR="009E4F87" w:rsidRPr="009D6AC3">
              <w:rPr>
                <w:rFonts w:ascii="Times New Roman" w:hAnsi="Times New Roman" w:cs="Times New Roman"/>
                <w:color w:val="FF0000"/>
                <w:sz w:val="28"/>
                <w:szCs w:val="28"/>
                <w:rtl/>
              </w:rPr>
              <w:t>%</w:t>
            </w:r>
          </w:p>
        </w:tc>
      </w:tr>
    </w:tbl>
    <w:p w:rsidR="00DC1846" w:rsidRPr="009D6AC3" w:rsidRDefault="00C24F42" w:rsidP="00DC184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rtl/>
        </w:rPr>
      </w:pPr>
      <w:r w:rsidRPr="009D6AC3">
        <w:rPr>
          <w:rFonts w:ascii="Times New Roman" w:hAnsi="Times New Roman" w:cs="Times New Roman"/>
          <w:color w:val="FF0000"/>
          <w:sz w:val="28"/>
          <w:szCs w:val="28"/>
          <w:rtl/>
        </w:rPr>
        <w:t>التعليق:</w:t>
      </w:r>
    </w:p>
    <w:p w:rsidR="00B272F1" w:rsidRPr="009D6AC3" w:rsidRDefault="00AA1EB2" w:rsidP="00B272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9D6AC3">
        <w:rPr>
          <w:rFonts w:ascii="Times New Roman" w:hAnsi="Times New Roman" w:cs="Times New Roman"/>
          <w:sz w:val="28"/>
          <w:szCs w:val="28"/>
          <w:rtl/>
        </w:rPr>
        <w:t xml:space="preserve">تختلف نسبة </w:t>
      </w:r>
      <w:r w:rsidR="00E705B3" w:rsidRPr="009D6AC3">
        <w:rPr>
          <w:rFonts w:ascii="Times New Roman" w:hAnsi="Times New Roman" w:cs="Times New Roman"/>
          <w:sz w:val="28"/>
          <w:szCs w:val="28"/>
          <w:rtl/>
        </w:rPr>
        <w:t>إنبات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الفول والقمح ويرجع ذلك </w:t>
      </w:r>
      <w:r w:rsidR="005B4C5A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 اختلاف </w:t>
      </w:r>
      <w:r w:rsidR="005B4C5A" w:rsidRPr="009D6AC3">
        <w:rPr>
          <w:rFonts w:ascii="Times New Roman" w:hAnsi="Times New Roman" w:cs="Times New Roman"/>
          <w:sz w:val="28"/>
          <w:szCs w:val="28"/>
          <w:rtl/>
        </w:rPr>
        <w:t>الاحتياجات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الضوئية </w:t>
      </w:r>
      <w:r w:rsidR="005B4C5A" w:rsidRPr="009D6AC3">
        <w:rPr>
          <w:rFonts w:ascii="Times New Roman" w:hAnsi="Times New Roman" w:cs="Times New Roman"/>
          <w:sz w:val="28"/>
          <w:szCs w:val="28"/>
          <w:rtl/>
        </w:rPr>
        <w:t>للإنبات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 حيث أن بعض البذور لها احتياج مطلق وتام للضوء لكي تنبت وبعض البذور تعرضها للضوء يؤدي إلى تثبيط إنباتها  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>ولاحظنا</w:t>
      </w:r>
      <w:r w:rsidR="00B272F1" w:rsidRPr="009D6AC3">
        <w:rPr>
          <w:rFonts w:ascii="Times New Roman" w:hAnsi="Times New Roman" w:cs="Times New Roman"/>
          <w:sz w:val="28"/>
          <w:szCs w:val="28"/>
          <w:rtl/>
        </w:rPr>
        <w:t xml:space="preserve"> من تجربتنا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 xml:space="preserve"> ومن تجارب سابقة</w:t>
      </w:r>
      <w:r w:rsidR="00B272F1" w:rsidRPr="009D6AC3">
        <w:rPr>
          <w:rFonts w:ascii="Times New Roman" w:hAnsi="Times New Roman" w:cs="Times New Roman"/>
          <w:sz w:val="28"/>
          <w:szCs w:val="28"/>
          <w:rtl/>
        </w:rPr>
        <w:t xml:space="preserve"> أن بذور نباتات ذوات الفلقتين أكثر حساسية للأشعة فوق البنفسجية من ذوات الفلقة الواحدة وقد يرجع ذلك </w:t>
      </w:r>
      <w:r w:rsidR="005B4C5A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="00B272F1" w:rsidRPr="009D6AC3">
        <w:rPr>
          <w:rFonts w:ascii="Times New Roman" w:hAnsi="Times New Roman" w:cs="Times New Roman"/>
          <w:sz w:val="28"/>
          <w:szCs w:val="28"/>
          <w:rtl/>
        </w:rPr>
        <w:t xml:space="preserve"> :</w:t>
      </w:r>
    </w:p>
    <w:p w:rsidR="00B272F1" w:rsidRPr="009D6AC3" w:rsidRDefault="00B272F1" w:rsidP="009E4F8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9D6AC3">
        <w:rPr>
          <w:rFonts w:ascii="Times New Roman" w:hAnsi="Times New Roman" w:cs="Times New Roman"/>
          <w:sz w:val="28"/>
          <w:szCs w:val="28"/>
          <w:rtl/>
        </w:rPr>
        <w:t xml:space="preserve">أن كمية المادة المخزنة في بذور ذوات الفلقتين اكبر من ذوات الفلقة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الواحدة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بالتالي تتأثر المواد المخزنة من بروتينات </w:t>
      </w:r>
      <w:proofErr w:type="spellStart"/>
      <w:r w:rsidRPr="009D6AC3">
        <w:rPr>
          <w:rFonts w:ascii="Times New Roman" w:hAnsi="Times New Roman" w:cs="Times New Roman"/>
          <w:sz w:val="28"/>
          <w:szCs w:val="28"/>
          <w:rtl/>
        </w:rPr>
        <w:t>وكربوهيدرات</w:t>
      </w:r>
      <w:proofErr w:type="spellEnd"/>
      <w:r w:rsidRPr="009D6AC3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بالأشعة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حيث تعمل على تكسيرها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أو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تثبيط عملية الاستفادة منها عند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إنبات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البذور.</w:t>
      </w:r>
    </w:p>
    <w:p w:rsidR="00B272F1" w:rsidRPr="009D6AC3" w:rsidRDefault="00B272F1" w:rsidP="003F7E3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9D6AC3">
        <w:rPr>
          <w:rFonts w:ascii="Times New Roman" w:hAnsi="Times New Roman" w:cs="Times New Roman"/>
          <w:sz w:val="28"/>
          <w:szCs w:val="28"/>
          <w:rtl/>
        </w:rPr>
        <w:t xml:space="preserve">وقد يرجع الاختلاف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حجم البذور حيث أن بذور الفول اكبر حجما من بذور القمح بالتالي فأن كمية 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>الأشعة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>التي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تستقبلها تكون اكبر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 xml:space="preserve"> بالتالي يكون تأثيرها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أكبر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 xml:space="preserve"> على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الإنبات</w:t>
      </w:r>
      <w:r w:rsidRPr="009D6AC3">
        <w:rPr>
          <w:rFonts w:ascii="Times New Roman" w:hAnsi="Times New Roman" w:cs="Times New Roman"/>
          <w:sz w:val="28"/>
          <w:szCs w:val="28"/>
          <w:rtl/>
        </w:rPr>
        <w:t>.</w:t>
      </w:r>
    </w:p>
    <w:p w:rsidR="00B272F1" w:rsidRPr="009D6AC3" w:rsidRDefault="00B272F1" w:rsidP="009E4F87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9D6AC3">
        <w:rPr>
          <w:rFonts w:ascii="Times New Roman" w:hAnsi="Times New Roman" w:cs="Times New Roman"/>
          <w:sz w:val="28"/>
          <w:szCs w:val="28"/>
          <w:rtl/>
        </w:rPr>
        <w:t xml:space="preserve">وقد يرجع 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 xml:space="preserve">عدم تأثر بذور القمح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 xml:space="preserve"> أن وقت تعرضها للأشعة (4 ساعات ) لم يكن كافيا لاختراق قصرتها والتأثير على نسبة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الإنبات</w:t>
      </w:r>
      <w:r w:rsidR="009E4F87" w:rsidRPr="009D6AC3">
        <w:rPr>
          <w:rFonts w:ascii="Times New Roman" w:hAnsi="Times New Roman" w:cs="Times New Roman"/>
          <w:sz w:val="28"/>
          <w:szCs w:val="28"/>
          <w:rtl/>
        </w:rPr>
        <w:t>.</w:t>
      </w:r>
    </w:p>
    <w:p w:rsidR="000B1CAD" w:rsidRDefault="009E4F87" w:rsidP="000B1CAD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9D6AC3">
        <w:rPr>
          <w:rFonts w:ascii="Times New Roman" w:hAnsi="Times New Roman" w:cs="Times New Roman"/>
          <w:sz w:val="28"/>
          <w:szCs w:val="28"/>
          <w:rtl/>
        </w:rPr>
        <w:t xml:space="preserve">والبذور المستخدم هي لنباتات (قمح , الفول) تتميز بمقاومتها للظروف البيئة القاسية بشكل عام 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حيث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أنها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تلجأ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الكمون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عند تعرضها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إلى</w:t>
      </w:r>
      <w:r w:rsidRPr="009D6AC3">
        <w:rPr>
          <w:rFonts w:ascii="Times New Roman" w:hAnsi="Times New Roman" w:cs="Times New Roman"/>
          <w:sz w:val="28"/>
          <w:szCs w:val="28"/>
          <w:rtl/>
        </w:rPr>
        <w:t xml:space="preserve"> أي ظروف بيئية مختلفة</w:t>
      </w:r>
      <w:r w:rsidR="00C24F42" w:rsidRPr="009D6AC3">
        <w:rPr>
          <w:rFonts w:ascii="Times New Roman" w:hAnsi="Times New Roman" w:cs="Times New Roman"/>
          <w:sz w:val="28"/>
          <w:szCs w:val="28"/>
          <w:rtl/>
        </w:rPr>
        <w:t>, و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كمون البذور يقع تحت تحكم التوازن بين المواد المنشطة </w:t>
      </w:r>
      <w:proofErr w:type="spellStart"/>
      <w:r w:rsidR="00AA1EB2" w:rsidRPr="009D6AC3">
        <w:rPr>
          <w:rFonts w:ascii="Times New Roman" w:hAnsi="Times New Roman" w:cs="Times New Roman"/>
          <w:sz w:val="28"/>
          <w:szCs w:val="28"/>
          <w:rtl/>
        </w:rPr>
        <w:t>كالجبرلينات</w:t>
      </w:r>
      <w:proofErr w:type="spellEnd"/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AA1EB2" w:rsidRPr="009D6AC3">
        <w:rPr>
          <w:rFonts w:ascii="Times New Roman" w:hAnsi="Times New Roman" w:cs="Times New Roman"/>
          <w:sz w:val="28"/>
          <w:szCs w:val="28"/>
        </w:rPr>
        <w:t>GA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وبين المواد المثبطة كحمض </w:t>
      </w:r>
      <w:proofErr w:type="spellStart"/>
      <w:r w:rsidR="00AA1EB2" w:rsidRPr="009D6AC3">
        <w:rPr>
          <w:rFonts w:ascii="Times New Roman" w:hAnsi="Times New Roman" w:cs="Times New Roman"/>
          <w:sz w:val="28"/>
          <w:szCs w:val="28"/>
          <w:rtl/>
        </w:rPr>
        <w:t>الأبسيسك</w:t>
      </w:r>
      <w:proofErr w:type="spellEnd"/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AA1EB2" w:rsidRPr="009D6AC3">
        <w:rPr>
          <w:rFonts w:ascii="Times New Roman" w:hAnsi="Times New Roman" w:cs="Times New Roman"/>
          <w:sz w:val="28"/>
          <w:szCs w:val="28"/>
        </w:rPr>
        <w:t>ABA</w:t>
      </w:r>
      <w:r w:rsidR="00AA1EB2" w:rsidRPr="009D6AC3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3F7E30" w:rsidRPr="009D6AC3">
        <w:rPr>
          <w:rFonts w:ascii="Times New Roman" w:hAnsi="Times New Roman" w:cs="Times New Roman"/>
          <w:sz w:val="28"/>
          <w:szCs w:val="28"/>
          <w:rtl/>
        </w:rPr>
        <w:t>و</w:t>
      </w:r>
      <w:r w:rsidR="003F7E30" w:rsidRPr="005B4C5A">
        <w:rPr>
          <w:rFonts w:asciiTheme="majorBidi" w:hAnsiTheme="majorBidi" w:cstheme="majorBidi"/>
          <w:sz w:val="28"/>
          <w:szCs w:val="28"/>
          <w:rtl/>
        </w:rPr>
        <w:t>اثب</w:t>
      </w:r>
      <w:r w:rsidRPr="005B4C5A">
        <w:rPr>
          <w:rFonts w:asciiTheme="majorBidi" w:hAnsiTheme="majorBidi" w:cstheme="majorBidi"/>
          <w:sz w:val="28"/>
          <w:szCs w:val="28"/>
          <w:rtl/>
        </w:rPr>
        <w:t xml:space="preserve">ت الدراسات أن </w:t>
      </w:r>
      <w:r w:rsidR="003F7E30" w:rsidRPr="005B4C5A">
        <w:rPr>
          <w:rFonts w:asciiTheme="majorBidi" w:hAnsiTheme="majorBidi" w:cstheme="majorBidi"/>
          <w:sz w:val="28"/>
          <w:szCs w:val="28"/>
          <w:rtl/>
        </w:rPr>
        <w:t>الأشعة</w:t>
      </w:r>
      <w:r w:rsidRPr="005B4C5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A1EB2" w:rsidRPr="005B4C5A">
        <w:rPr>
          <w:rFonts w:asciiTheme="majorBidi" w:hAnsiTheme="majorBidi" w:cstheme="majorBidi"/>
          <w:sz w:val="28"/>
          <w:szCs w:val="28"/>
          <w:rtl/>
        </w:rPr>
        <w:t>فوق البنفسجية</w:t>
      </w:r>
      <w:r w:rsidRPr="005B4C5A">
        <w:rPr>
          <w:rFonts w:asciiTheme="majorBidi" w:hAnsiTheme="majorBidi" w:cstheme="majorBidi"/>
          <w:sz w:val="28"/>
          <w:szCs w:val="28"/>
          <w:rtl/>
        </w:rPr>
        <w:t xml:space="preserve"> لها تأث</w:t>
      </w:r>
      <w:r w:rsidR="003F7E30" w:rsidRPr="005B4C5A">
        <w:rPr>
          <w:rFonts w:asciiTheme="majorBidi" w:hAnsiTheme="majorBidi" w:cstheme="majorBidi"/>
          <w:sz w:val="28"/>
          <w:szCs w:val="28"/>
          <w:rtl/>
        </w:rPr>
        <w:t>ي</w:t>
      </w:r>
      <w:r w:rsidRPr="005B4C5A">
        <w:rPr>
          <w:rFonts w:asciiTheme="majorBidi" w:hAnsiTheme="majorBidi" w:cstheme="majorBidi"/>
          <w:sz w:val="28"/>
          <w:szCs w:val="28"/>
          <w:rtl/>
        </w:rPr>
        <w:t>ر</w:t>
      </w:r>
      <w:r w:rsidR="003F7E30" w:rsidRPr="005B4C5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A1EB2" w:rsidRPr="005B4C5A">
        <w:rPr>
          <w:rFonts w:asciiTheme="majorBidi" w:hAnsiTheme="majorBidi" w:cstheme="majorBidi"/>
          <w:sz w:val="28"/>
          <w:szCs w:val="28"/>
          <w:rtl/>
        </w:rPr>
        <w:t xml:space="preserve">على حمض </w:t>
      </w:r>
      <w:proofErr w:type="spellStart"/>
      <w:r w:rsidR="00AA1EB2" w:rsidRPr="005B4C5A">
        <w:rPr>
          <w:rFonts w:asciiTheme="majorBidi" w:hAnsiTheme="majorBidi" w:cstheme="majorBidi"/>
          <w:sz w:val="28"/>
          <w:szCs w:val="28"/>
          <w:rtl/>
        </w:rPr>
        <w:t>الابسيسك</w:t>
      </w:r>
      <w:proofErr w:type="spellEnd"/>
      <w:r w:rsidR="00AA1EB2" w:rsidRPr="005B4C5A">
        <w:rPr>
          <w:rFonts w:asciiTheme="majorBidi" w:hAnsiTheme="majorBidi" w:cstheme="majorBidi"/>
          <w:sz w:val="28"/>
          <w:szCs w:val="28"/>
          <w:rtl/>
        </w:rPr>
        <w:t xml:space="preserve"> أو </w:t>
      </w:r>
      <w:proofErr w:type="spellStart"/>
      <w:r w:rsidR="00AA1EB2" w:rsidRPr="005B4C5A">
        <w:rPr>
          <w:rFonts w:asciiTheme="majorBidi" w:hAnsiTheme="majorBidi" w:cstheme="majorBidi"/>
          <w:sz w:val="28"/>
          <w:szCs w:val="28"/>
          <w:rtl/>
        </w:rPr>
        <w:t>الجبرلينات</w:t>
      </w:r>
      <w:proofErr w:type="spellEnd"/>
      <w:r w:rsidR="00AA1EB2" w:rsidRPr="005B4C5A">
        <w:rPr>
          <w:rFonts w:asciiTheme="majorBidi" w:hAnsiTheme="majorBidi" w:cstheme="majorBidi"/>
          <w:sz w:val="28"/>
          <w:szCs w:val="28"/>
          <w:rtl/>
        </w:rPr>
        <w:t xml:space="preserve"> أو كليهما معا</w:t>
      </w:r>
      <w:r w:rsidR="00C24F42" w:rsidRPr="005B4C5A">
        <w:rPr>
          <w:rFonts w:asciiTheme="majorBidi" w:hAnsiTheme="majorBidi" w:cstheme="majorBidi"/>
          <w:sz w:val="28"/>
          <w:szCs w:val="28"/>
          <w:rtl/>
        </w:rPr>
        <w:t>.</w:t>
      </w:r>
    </w:p>
    <w:p w:rsidR="000B1CAD" w:rsidRDefault="000B1CAD" w:rsidP="000B1CAD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تمنياتي للجميع بالتوفيق</w:t>
      </w:r>
    </w:p>
    <w:p w:rsidR="000B1CAD" w:rsidRDefault="000B1CAD" w:rsidP="000B1CAD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العنود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الفغم</w:t>
      </w:r>
      <w:proofErr w:type="spellEnd"/>
    </w:p>
    <w:sectPr w:rsidR="000B1CAD" w:rsidSect="003F7E30">
      <w:headerReference w:type="default" r:id="rId8"/>
      <w:pgSz w:w="11906" w:h="16838"/>
      <w:pgMar w:top="1440" w:right="1800" w:bottom="993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E86" w:rsidRDefault="000A0E86" w:rsidP="000A0E86">
      <w:pPr>
        <w:spacing w:after="0" w:line="240" w:lineRule="auto"/>
      </w:pPr>
      <w:r>
        <w:separator/>
      </w:r>
    </w:p>
  </w:endnote>
  <w:endnote w:type="continuationSeparator" w:id="1">
    <w:p w:rsidR="000A0E86" w:rsidRDefault="000A0E86" w:rsidP="000A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E86" w:rsidRDefault="000A0E86" w:rsidP="000A0E86">
      <w:pPr>
        <w:spacing w:after="0" w:line="240" w:lineRule="auto"/>
      </w:pPr>
      <w:r>
        <w:separator/>
      </w:r>
    </w:p>
  </w:footnote>
  <w:footnote w:type="continuationSeparator" w:id="1">
    <w:p w:rsidR="000A0E86" w:rsidRDefault="000A0E86" w:rsidP="000A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E86" w:rsidRDefault="000A0E86">
    <w:pPr>
      <w:pStyle w:val="a5"/>
    </w:pPr>
    <w:r>
      <w:rPr>
        <w:rFonts w:hint="cs"/>
        <w:rtl/>
      </w:rPr>
      <w:t xml:space="preserve">تقرير تجربة تأثير </w:t>
    </w:r>
    <w:proofErr w:type="spellStart"/>
    <w:r>
      <w:rPr>
        <w:rFonts w:hint="cs"/>
        <w:rtl/>
      </w:rPr>
      <w:t>الاشعة</w:t>
    </w:r>
    <w:proofErr w:type="spellEnd"/>
    <w:r>
      <w:rPr>
        <w:rFonts w:hint="cs"/>
        <w:rtl/>
      </w:rPr>
      <w:t xml:space="preserve"> فوق البنفسجية على نسبة </w:t>
    </w:r>
    <w:proofErr w:type="spellStart"/>
    <w:r>
      <w:rPr>
        <w:rFonts w:hint="cs"/>
        <w:rtl/>
      </w:rPr>
      <w:t>انبات</w:t>
    </w:r>
    <w:proofErr w:type="spellEnd"/>
    <w:r>
      <w:rPr>
        <w:rFonts w:hint="cs"/>
        <w:rtl/>
      </w:rPr>
      <w:t xml:space="preserve"> القمح والفول.  فسيولوجيا البيئة.   أ.</w:t>
    </w:r>
    <w:proofErr w:type="spellStart"/>
    <w:r>
      <w:rPr>
        <w:rFonts w:hint="cs"/>
        <w:rtl/>
      </w:rPr>
      <w:t>العنود</w:t>
    </w:r>
    <w:proofErr w:type="spellEnd"/>
    <w:r>
      <w:rPr>
        <w:rFonts w:hint="cs"/>
        <w:rtl/>
      </w:rPr>
      <w:t xml:space="preserve"> </w:t>
    </w:r>
    <w:proofErr w:type="spellStart"/>
    <w:r>
      <w:rPr>
        <w:rFonts w:hint="cs"/>
        <w:rtl/>
      </w:rPr>
      <w:t>الفغم</w:t>
    </w:r>
    <w:proofErr w:type="spellEnd"/>
    <w:r>
      <w:rPr>
        <w:rFonts w:hint="cs"/>
        <w:rtl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170_"/>
      </v:shape>
    </w:pict>
  </w:numPicBullet>
  <w:abstractNum w:abstractNumId="0">
    <w:nsid w:val="209B12A2"/>
    <w:multiLevelType w:val="hybridMultilevel"/>
    <w:tmpl w:val="55AE90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445CE6"/>
    <w:multiLevelType w:val="hybridMultilevel"/>
    <w:tmpl w:val="453A2E48"/>
    <w:lvl w:ilvl="0" w:tplc="5C6AB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D0571"/>
    <w:multiLevelType w:val="hybridMultilevel"/>
    <w:tmpl w:val="B3A67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001F"/>
    <w:rsid w:val="000A0E86"/>
    <w:rsid w:val="000B1CAD"/>
    <w:rsid w:val="000B276E"/>
    <w:rsid w:val="00164AF3"/>
    <w:rsid w:val="00234703"/>
    <w:rsid w:val="0026061D"/>
    <w:rsid w:val="003F7E30"/>
    <w:rsid w:val="00476A15"/>
    <w:rsid w:val="005B4C5A"/>
    <w:rsid w:val="008E5250"/>
    <w:rsid w:val="009C0756"/>
    <w:rsid w:val="009D001F"/>
    <w:rsid w:val="009D6AC3"/>
    <w:rsid w:val="009E4F87"/>
    <w:rsid w:val="00A10923"/>
    <w:rsid w:val="00A61BB6"/>
    <w:rsid w:val="00AA1EB2"/>
    <w:rsid w:val="00B03087"/>
    <w:rsid w:val="00B272F1"/>
    <w:rsid w:val="00C24F42"/>
    <w:rsid w:val="00D00045"/>
    <w:rsid w:val="00D66CBA"/>
    <w:rsid w:val="00DB1E31"/>
    <w:rsid w:val="00DC1846"/>
    <w:rsid w:val="00E705B3"/>
    <w:rsid w:val="00F0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4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Shading Accent 4"/>
    <w:basedOn w:val="a1"/>
    <w:uiPriority w:val="60"/>
    <w:rsid w:val="00C24F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3">
    <w:name w:val="Table Grid"/>
    <w:basedOn w:val="a1"/>
    <w:uiPriority w:val="59"/>
    <w:rsid w:val="00C24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Grid Accent 6"/>
    <w:basedOn w:val="a1"/>
    <w:uiPriority w:val="62"/>
    <w:rsid w:val="00E705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4">
    <w:name w:val="List Paragraph"/>
    <w:basedOn w:val="a"/>
    <w:uiPriority w:val="34"/>
    <w:qFormat/>
    <w:rsid w:val="009E4F87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0A0E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0A0E86"/>
  </w:style>
  <w:style w:type="paragraph" w:styleId="a6">
    <w:name w:val="footer"/>
    <w:basedOn w:val="a"/>
    <w:link w:val="Char0"/>
    <w:uiPriority w:val="99"/>
    <w:semiHidden/>
    <w:unhideWhenUsed/>
    <w:rsid w:val="000A0E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0A0E86"/>
  </w:style>
  <w:style w:type="table" w:styleId="2-2">
    <w:name w:val="Medium Shading 2 Accent 2"/>
    <w:basedOn w:val="a1"/>
    <w:uiPriority w:val="64"/>
    <w:rsid w:val="00DC1846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1EE4D4-B56E-477A-921C-7B6B303F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2012-11-10T13:07:00Z</cp:lastPrinted>
  <dcterms:created xsi:type="dcterms:W3CDTF">2011-04-24T11:01:00Z</dcterms:created>
  <dcterms:modified xsi:type="dcterms:W3CDTF">2012-11-10T13:08:00Z</dcterms:modified>
</cp:coreProperties>
</file>