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43" w:rsidRDefault="00B64643" w:rsidP="00344E7D">
      <w:pPr>
        <w:bidi/>
        <w:spacing w:line="240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دانشگاه ملک سعود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  <w:t xml:space="preserve">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>مدت امتحان: یک ساعت</w:t>
      </w:r>
    </w:p>
    <w:p w:rsidR="00B64643" w:rsidRDefault="00B64643" w:rsidP="00344E7D">
      <w:pPr>
        <w:bidi/>
        <w:spacing w:line="240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دانشکده زبانها وترجمه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    دو شنبه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30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/03/1439هـ</w:t>
      </w:r>
    </w:p>
    <w:p w:rsidR="00B64643" w:rsidRDefault="00B64643" w:rsidP="00344E7D">
      <w:pPr>
        <w:bidi/>
        <w:spacing w:line="240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رشته زبان فارسی وترجمه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  <w:t xml:space="preserve">   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تطبيقات الحاسوب في الترجمة</w:t>
      </w:r>
    </w:p>
    <w:p w:rsidR="00FD036D" w:rsidRDefault="00B64643" w:rsidP="004E79B7">
      <w:pPr>
        <w:bidi/>
        <w:spacing w:line="480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اسم دانشجو.................................................................</w:t>
      </w:r>
      <w:r w:rsidR="00FD036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..............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.........................................</w:t>
      </w:r>
    </w:p>
    <w:p w:rsidR="00FD036D" w:rsidRDefault="00FD036D" w:rsidP="004E79B7">
      <w:pPr>
        <w:bidi/>
        <w:spacing w:line="480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س1: جملات زیر را با صحیح یا غلط مشخص کنید؟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برنامه های</w:t>
      </w: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حافظه ترجمه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 متن مبدا را به واحدهای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(segments)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قابل مدیریت تقسیم می کنند.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یک واحد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،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جمله یا شبه جمله از متن مبدا می تواند یک سگمنت در نظر گرفته شود</w:t>
      </w: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before="100" w:beforeAutospacing="1" w:after="100" w:afterAutospacing="1" w:line="480" w:lineRule="auto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زمانی که مترجم روی ترجمه یک سند کار می کند</w:t>
      </w: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و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سگمنتی مشابه در زبان مقصد را در پایگاه داده اش بیابد، 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حافظه ترجمه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آنرا برای استفاده دوباره ارایه </w:t>
      </w:r>
      <w:r w:rsidR="000A0D7A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ن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می دهد.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before="100" w:beforeAutospacing="1" w:after="100" w:afterAutospacing="1" w:line="480" w:lineRule="auto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موقعی که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 نرم افزار سگمنت مشابهی پیدا ن</w:t>
      </w: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می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کند، به مترجم اجازه </w:t>
      </w:r>
      <w:r w:rsidR="000A0D7A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ن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می دهد تا ترجمه ای برای سگمنت جدید وارد نماید.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(      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پس از تکمیل ترجمه یک سگمنت، نرم افزار ترجمه آن سگمنت جدید را ذخیره کرده و به سگمنت بعدی می رود.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(    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 حافظه ترجمه یک پایگاه داده ساده از </w:t>
      </w: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فایل های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 دربر گیرنده سگمنت زبان مبدا، ترجمه سگمنت و اطلاعات دیگر می باشد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  )</w:t>
      </w:r>
    </w:p>
    <w:p w:rsidR="00FD036D" w:rsidRPr="00344E7D" w:rsidRDefault="000A0D7A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همه </w:t>
      </w:r>
      <w:r w:rsidR="00FD036D"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برنامه های حافظه ترجمه به عنوان محیط های مستقل </w:t>
      </w:r>
      <w:r w:rsidR="00FD036D"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>(standalone)</w:t>
      </w:r>
      <w:r w:rsidR="00FD036D"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عمل</w:t>
      </w:r>
      <w:r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می</w:t>
      </w:r>
      <w:r w:rsidR="00FD036D"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کنند.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)</w:t>
      </w:r>
    </w:p>
    <w:p w:rsidR="00FD036D" w:rsidRPr="00344E7D" w:rsidRDefault="00FD036D" w:rsidP="004E79B7">
      <w:pPr>
        <w:pStyle w:val="ListParagraph"/>
        <w:numPr>
          <w:ilvl w:val="0"/>
          <w:numId w:val="2"/>
        </w:numPr>
        <w:bidi/>
        <w:spacing w:before="100" w:beforeAutospacing="1" w:after="100" w:afterAutospacing="1" w:line="480" w:lineRule="auto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برنامه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های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add-on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امکان مدیریت اسناد مبدا از دیگر فرمت ها مانند فایل های انتشاری دسکتاپ، صفحات گسترده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را با استفاده از برنامه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TM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فراهم </w:t>
      </w:r>
      <w:r w:rsidR="000A0D7A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ن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می آورند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   )</w:t>
      </w:r>
    </w:p>
    <w:p w:rsidR="00FD036D" w:rsidRPr="00344E7D" w:rsidRDefault="004E79B7" w:rsidP="004E79B7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bookmarkStart w:id="0" w:name="_Hlk501358640"/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lastRenderedPageBreak/>
        <w:t xml:space="preserve">همتراز کننده </w:t>
      </w:r>
      <w:bookmarkEnd w:id="0"/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ترجمه های کامل را می گیرند، متون مبدا و مرجع را به سگمنت هایی تقسیم می کنند و تلاش می کنند تعیین کنند کدام سگمنت ها به یکدیگر تعلق دارند. 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(          )</w:t>
      </w:r>
    </w:p>
    <w:p w:rsidR="004E79B7" w:rsidRPr="00344E7D" w:rsidRDefault="004E79B7" w:rsidP="004E79B7">
      <w:pPr>
        <w:pStyle w:val="ListParagraph"/>
        <w:numPr>
          <w:ilvl w:val="0"/>
          <w:numId w:val="2"/>
        </w:numPr>
        <w:bidi/>
        <w:spacing w:before="100" w:beforeAutospacing="1" w:after="100" w:afterAutospacing="1" w:line="480" w:lineRule="auto"/>
        <w:ind w:left="-810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بسیاری از برنامه های </w:t>
      </w:r>
      <w:r w:rsidR="00787FA8"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همتراز کننده 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به مترجمان امکان </w:t>
      </w:r>
      <w:r w:rsidR="000A0D7A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ن</w:t>
      </w: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می دهند سگمنت های ناسازگار را به صورت دستی مجددا همتراز کنند.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(             )</w:t>
      </w:r>
    </w:p>
    <w:p w:rsidR="004E79B7" w:rsidRPr="00344E7D" w:rsidRDefault="000A0D7A" w:rsidP="004E79B7">
      <w:pPr>
        <w:pStyle w:val="ListParagraph"/>
        <w:numPr>
          <w:ilvl w:val="0"/>
          <w:numId w:val="2"/>
        </w:numPr>
        <w:bidi/>
        <w:spacing w:line="480" w:lineRule="auto"/>
        <w:ind w:left="-81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44E7D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 xml:space="preserve">همتراز کننده </w:t>
      </w:r>
      <w:r w:rsidR="004E79B7" w:rsidRPr="00344E7D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>الگویی است که در آن سیستم اتوماتیک تلاش می کند ترجمه ای را پیش بینی کند که مترجم انسانی قصد تولید آن را دارد.</w:t>
      </w:r>
      <w:r w:rsidR="00787FA8">
        <w:rPr>
          <w:rFonts w:asciiTheme="majorBidi" w:eastAsia="Times New Roman" w:hAnsiTheme="majorBidi" w:cstheme="majorBidi" w:hint="cs"/>
          <w:b/>
          <w:bCs/>
          <w:sz w:val="32"/>
          <w:szCs w:val="32"/>
          <w:rtl/>
        </w:rPr>
        <w:t xml:space="preserve"> (              )</w:t>
      </w:r>
    </w:p>
    <w:p w:rsidR="003B0342" w:rsidRDefault="003B0342" w:rsidP="003B0342">
      <w:pPr>
        <w:pStyle w:val="ListParagraph"/>
        <w:numPr>
          <w:ilvl w:val="0"/>
          <w:numId w:val="2"/>
        </w:numPr>
        <w:bidi/>
        <w:spacing w:line="480" w:lineRule="auto"/>
        <w:ind w:left="-81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جستجوگر </w:t>
      </w:r>
      <w:r w:rsidR="00787FA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جسجو</w:t>
      </w:r>
      <w:r w:rsidR="00787FA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یکی از قدیمی ترین سایت های جستجوی ایرانی است که از سال 1381 شروع کرد.</w:t>
      </w:r>
      <w:r w:rsidR="00F8007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(            )</w:t>
      </w:r>
    </w:p>
    <w:p w:rsidR="003B0342" w:rsidRDefault="003B0342" w:rsidP="003B0342">
      <w:pPr>
        <w:pStyle w:val="ListParagraph"/>
        <w:numPr>
          <w:ilvl w:val="0"/>
          <w:numId w:val="2"/>
        </w:numPr>
        <w:bidi/>
        <w:spacing w:line="480" w:lineRule="auto"/>
        <w:ind w:left="-81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سایت پارسیک ویژۀ سفارشی سازی جستجوهای فارسی فراهم می آورد.</w:t>
      </w:r>
      <w:r w:rsidR="00787FA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(            )</w:t>
      </w:r>
    </w:p>
    <w:p w:rsidR="00344E7D" w:rsidRDefault="00787FA8" w:rsidP="00344E7D">
      <w:pPr>
        <w:pStyle w:val="ListParagraph"/>
        <w:numPr>
          <w:ilvl w:val="0"/>
          <w:numId w:val="2"/>
        </w:numPr>
        <w:bidi/>
        <w:spacing w:line="480" w:lineRule="auto"/>
        <w:ind w:left="-81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اگر </w:t>
      </w:r>
      <w:r w:rsidR="003B034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کلمه </w:t>
      </w:r>
      <w:r w:rsidR="003B0342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BETA </w:t>
      </w:r>
      <w:r w:rsidR="003B034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276C2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را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در سایت مشاهده کنید </w:t>
      </w:r>
      <w:r w:rsidR="003B034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یعنی سایت در حالت آمادگی</w:t>
      </w:r>
      <w:r w:rsidR="00276C2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کامل</w:t>
      </w:r>
      <w:r w:rsidR="003B034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است.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(               )</w:t>
      </w:r>
    </w:p>
    <w:p w:rsidR="00344E7D" w:rsidRDefault="00344E7D" w:rsidP="00344E7D">
      <w:p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س: کلمات زیر را ترجمه کنید؟</w:t>
      </w:r>
    </w:p>
    <w:p w:rsidR="0053773E" w:rsidRPr="00344E7D" w:rsidRDefault="0053773E" w:rsidP="0053773E">
      <w:p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 فارسی الی عربی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22"/>
        <w:gridCol w:w="2922"/>
        <w:gridCol w:w="2922"/>
      </w:tblGrid>
      <w:tr w:rsidR="00344E7D" w:rsidTr="00344E7D">
        <w:tc>
          <w:tcPr>
            <w:tcW w:w="2922" w:type="dxa"/>
          </w:tcPr>
          <w:p w:rsidR="00344E7D" w:rsidRPr="00344E7D" w:rsidRDefault="00344E7D" w:rsidP="00344E7D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344E7D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محدودیت</w:t>
            </w:r>
          </w:p>
        </w:tc>
        <w:tc>
          <w:tcPr>
            <w:tcW w:w="2922" w:type="dxa"/>
          </w:tcPr>
          <w:p w:rsidR="00344E7D" w:rsidRPr="00344E7D" w:rsidRDefault="00344E7D" w:rsidP="00344E7D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344E7D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حق انحصاری اثر</w:t>
            </w:r>
          </w:p>
        </w:tc>
        <w:tc>
          <w:tcPr>
            <w:tcW w:w="2922" w:type="dxa"/>
          </w:tcPr>
          <w:p w:rsidR="00344E7D" w:rsidRPr="00344E7D" w:rsidRDefault="00344E7D" w:rsidP="00344E7D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344E7D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سازگار</w:t>
            </w:r>
          </w:p>
        </w:tc>
      </w:tr>
      <w:tr w:rsidR="00344E7D" w:rsidTr="00344E7D">
        <w:tc>
          <w:tcPr>
            <w:tcW w:w="2922" w:type="dxa"/>
          </w:tcPr>
          <w:p w:rsidR="00344E7D" w:rsidRDefault="00344E7D" w:rsidP="00344E7D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22" w:type="dxa"/>
          </w:tcPr>
          <w:p w:rsidR="00344E7D" w:rsidRDefault="00344E7D" w:rsidP="00344E7D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22" w:type="dxa"/>
          </w:tcPr>
          <w:p w:rsidR="00344E7D" w:rsidRDefault="00344E7D" w:rsidP="00344E7D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344E7D" w:rsidRDefault="0053773E" w:rsidP="00344E7D">
      <w:p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 عربی الی فارسی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22"/>
        <w:gridCol w:w="2922"/>
        <w:gridCol w:w="2922"/>
      </w:tblGrid>
      <w:tr w:rsidR="0053773E" w:rsidRPr="0053773E" w:rsidTr="00302269">
        <w:tc>
          <w:tcPr>
            <w:tcW w:w="2922" w:type="dxa"/>
          </w:tcPr>
          <w:p w:rsidR="0053773E" w:rsidRPr="0053773E" w:rsidRDefault="0053773E" w:rsidP="00302269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53773E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اتصال</w:t>
            </w:r>
          </w:p>
        </w:tc>
        <w:tc>
          <w:tcPr>
            <w:tcW w:w="2922" w:type="dxa"/>
          </w:tcPr>
          <w:p w:rsidR="0053773E" w:rsidRPr="0053773E" w:rsidRDefault="0053773E" w:rsidP="00302269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53773E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سری</w:t>
            </w:r>
          </w:p>
        </w:tc>
        <w:tc>
          <w:tcPr>
            <w:tcW w:w="2922" w:type="dxa"/>
          </w:tcPr>
          <w:p w:rsidR="0053773E" w:rsidRPr="0053773E" w:rsidRDefault="0053773E" w:rsidP="00302269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</w:pPr>
            <w:r w:rsidRPr="0053773E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تاکید</w:t>
            </w:r>
          </w:p>
        </w:tc>
      </w:tr>
      <w:tr w:rsidR="0053773E" w:rsidTr="00302269">
        <w:tc>
          <w:tcPr>
            <w:tcW w:w="2922" w:type="dxa"/>
          </w:tcPr>
          <w:p w:rsidR="0053773E" w:rsidRDefault="0053773E" w:rsidP="00302269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22" w:type="dxa"/>
          </w:tcPr>
          <w:p w:rsidR="0053773E" w:rsidRDefault="0053773E" w:rsidP="00302269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22" w:type="dxa"/>
          </w:tcPr>
          <w:p w:rsidR="0053773E" w:rsidRDefault="0053773E" w:rsidP="00302269">
            <w:pPr>
              <w:bidi/>
              <w:spacing w:line="480" w:lineRule="auto"/>
              <w:ind w:right="-117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344E7D" w:rsidRPr="00344E7D" w:rsidRDefault="00344E7D" w:rsidP="00344E7D">
      <w:p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bookmarkStart w:id="1" w:name="_GoBack"/>
      <w:bookmarkEnd w:id="1"/>
    </w:p>
    <w:sectPr w:rsidR="00344E7D" w:rsidRPr="00344E7D" w:rsidSect="00344E7D">
      <w:footerReference w:type="default" r:id="rId8"/>
      <w:pgSz w:w="12240" w:h="15840"/>
      <w:pgMar w:top="1440" w:right="189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540" w:rsidRDefault="001A4540" w:rsidP="00344E7D">
      <w:pPr>
        <w:spacing w:after="0" w:line="240" w:lineRule="auto"/>
      </w:pPr>
      <w:r>
        <w:separator/>
      </w:r>
    </w:p>
  </w:endnote>
  <w:endnote w:type="continuationSeparator" w:id="0">
    <w:p w:rsidR="001A4540" w:rsidRDefault="001A4540" w:rsidP="0034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912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E7D" w:rsidRDefault="00344E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8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4E7D" w:rsidRDefault="00344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540" w:rsidRDefault="001A4540" w:rsidP="00344E7D">
      <w:pPr>
        <w:spacing w:after="0" w:line="240" w:lineRule="auto"/>
      </w:pPr>
      <w:r>
        <w:separator/>
      </w:r>
    </w:p>
  </w:footnote>
  <w:footnote w:type="continuationSeparator" w:id="0">
    <w:p w:rsidR="001A4540" w:rsidRDefault="001A4540" w:rsidP="00344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CA2"/>
    <w:multiLevelType w:val="hybridMultilevel"/>
    <w:tmpl w:val="C35C3188"/>
    <w:lvl w:ilvl="0" w:tplc="DA4643CE">
      <w:start w:val="1"/>
      <w:numFmt w:val="decimal"/>
      <w:lvlText w:val="%1-"/>
      <w:lvlJc w:val="left"/>
      <w:pPr>
        <w:ind w:left="-630" w:hanging="360"/>
      </w:pPr>
      <w:rPr>
        <w:rFonts w:eastAsia="Times New Roman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1">
    <w:nsid w:val="708451B4"/>
    <w:multiLevelType w:val="hybridMultilevel"/>
    <w:tmpl w:val="95B01A40"/>
    <w:lvl w:ilvl="0" w:tplc="61626E86">
      <w:start w:val="1"/>
      <w:numFmt w:val="decimal"/>
      <w:lvlText w:val="%1-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43"/>
    <w:rsid w:val="000A0D7A"/>
    <w:rsid w:val="00122FC0"/>
    <w:rsid w:val="00176A18"/>
    <w:rsid w:val="001A4540"/>
    <w:rsid w:val="00276C29"/>
    <w:rsid w:val="00344E7D"/>
    <w:rsid w:val="003B0342"/>
    <w:rsid w:val="004E79B7"/>
    <w:rsid w:val="0053773E"/>
    <w:rsid w:val="006E5D22"/>
    <w:rsid w:val="00787FA8"/>
    <w:rsid w:val="00A04884"/>
    <w:rsid w:val="00B64643"/>
    <w:rsid w:val="00F8007D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643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36D"/>
    <w:pPr>
      <w:ind w:left="720"/>
      <w:contextualSpacing/>
    </w:pPr>
  </w:style>
  <w:style w:type="table" w:styleId="TableGrid">
    <w:name w:val="Table Grid"/>
    <w:basedOn w:val="TableNormal"/>
    <w:uiPriority w:val="59"/>
    <w:rsid w:val="00344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E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7D"/>
  </w:style>
  <w:style w:type="paragraph" w:styleId="Footer">
    <w:name w:val="footer"/>
    <w:basedOn w:val="Normal"/>
    <w:link w:val="FooterChar"/>
    <w:uiPriority w:val="99"/>
    <w:unhideWhenUsed/>
    <w:rsid w:val="00344E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643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36D"/>
    <w:pPr>
      <w:ind w:left="720"/>
      <w:contextualSpacing/>
    </w:pPr>
  </w:style>
  <w:style w:type="table" w:styleId="TableGrid">
    <w:name w:val="Table Grid"/>
    <w:basedOn w:val="TableNormal"/>
    <w:uiPriority w:val="59"/>
    <w:rsid w:val="00344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E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7D"/>
  </w:style>
  <w:style w:type="paragraph" w:styleId="Footer">
    <w:name w:val="footer"/>
    <w:basedOn w:val="Normal"/>
    <w:link w:val="FooterChar"/>
    <w:uiPriority w:val="99"/>
    <w:unhideWhenUsed/>
    <w:rsid w:val="00344E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2017-12-18T07:28:00Z</dcterms:created>
  <dcterms:modified xsi:type="dcterms:W3CDTF">2017-12-18T09:22:00Z</dcterms:modified>
</cp:coreProperties>
</file>