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فقه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العبادات</w:t>
            </w:r>
            <w:r w:rsidDel="00000000" w:rsidR="00000000" w:rsidRPr="00000000">
              <w:rPr>
                <w:b w:val="1"/>
                <w:rtl w:val="1"/>
              </w:rPr>
              <w:t xml:space="preserve"> (1)</w:t>
            </w:r>
          </w:p>
        </w:tc>
      </w:tr>
      <w:tr>
        <w:trPr>
          <w:trHeight w:val="50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137</w:t>
            </w:r>
            <w:r w:rsidDel="00000000" w:rsidR="00000000" w:rsidRPr="00000000">
              <w:rPr>
                <w:b w:val="1"/>
                <w:rtl w:val="1"/>
              </w:rPr>
              <w:t xml:space="preserve">سلم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بكالور</w:t>
            </w:r>
            <w:r w:rsidDel="00000000" w:rsidR="00000000" w:rsidRPr="00000000">
              <w:rPr>
                <w:b w:val="1"/>
                <w:rtl w:val="1"/>
              </w:rPr>
              <w:t xml:space="preserve">يوس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القرآنية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مسار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القرآنية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الإسلامية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</w:p>
        </w:tc>
      </w:tr>
      <w:tr>
        <w:trPr>
          <w:trHeight w:val="50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سعود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hanging="24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التعريف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بالمقرر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tbl>
      <w:tblPr>
        <w:tblStyle w:val="Table2"/>
        <w:bidiVisual w:val="1"/>
        <w:tblW w:w="934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15"/>
        <w:gridCol w:w="630"/>
        <w:gridCol w:w="260"/>
        <w:gridCol w:w="193"/>
        <w:gridCol w:w="421"/>
        <w:gridCol w:w="348"/>
        <w:gridCol w:w="1931"/>
        <w:gridCol w:w="260"/>
        <w:gridCol w:w="1741"/>
        <w:tblGridChange w:id="0">
          <w:tblGrid>
            <w:gridCol w:w="452"/>
            <w:gridCol w:w="685"/>
            <w:gridCol w:w="845"/>
            <w:gridCol w:w="48"/>
            <w:gridCol w:w="201"/>
            <w:gridCol w:w="169"/>
            <w:gridCol w:w="348"/>
            <w:gridCol w:w="494"/>
            <w:gridCol w:w="315"/>
            <w:gridCol w:w="630"/>
            <w:gridCol w:w="260"/>
            <w:gridCol w:w="193"/>
            <w:gridCol w:w="421"/>
            <w:gridCol w:w="348"/>
            <w:gridCol w:w="1931"/>
            <w:gridCol w:w="260"/>
            <w:gridCol w:w="1741"/>
          </w:tblGrid>
        </w:tblGridChange>
      </w:tblGrid>
      <w:t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متطلب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متطلب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متطلب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إجباري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وجدت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  <w:t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وجدت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0C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7. </w:t>
      </w:r>
      <w:r w:rsidDel="00000000" w:rsidR="00000000" w:rsidRPr="00000000">
        <w:rPr>
          <w:b w:val="1"/>
          <w:rtl w:val="1"/>
        </w:rPr>
        <w:t xml:space="preserve">ساعات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الفعلية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للمقرر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2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الاتصال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تذكر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F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rtl w:val="1"/>
              </w:rPr>
              <w:t xml:space="preserve">*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الاستذكار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الواجبات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FF">
            <w:pPr>
              <w:bidi w:val="1"/>
              <w:rPr>
                <w:strike w:val="1"/>
              </w:rPr>
            </w:pPr>
            <w:r w:rsidDel="00000000" w:rsidR="00000000" w:rsidRPr="00000000">
              <w:rPr>
                <w:rtl w:val="1"/>
              </w:rPr>
              <w:t xml:space="preserve">المكتبة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المشاريع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تذكر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10A">
      <w:pPr>
        <w:bidi w:val="1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المستثمر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الاستذكار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والواجبات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والعروض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يقضيه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المكتبة</w:t>
      </w:r>
    </w:p>
    <w:p w:rsidR="00000000" w:rsidDel="00000000" w:rsidP="00000000" w:rsidRDefault="00000000" w:rsidRPr="00000000" w14:paraId="000001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1"/>
        <w:bidi w:val="1"/>
        <w:rPr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ومخرجاته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مدخلا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الطهارة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الوضوء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والغسل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والتيمم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والمسح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الحوائل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النجاسات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وإزالتها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والحيض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والنفاس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وأحكامهم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الفريضة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والنافلة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الأعذار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pStyle w:val="Heading2"/>
              <w:bidi w:val="1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باب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الجنائز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15">
      <w:pPr>
        <w:pStyle w:val="Heading2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2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للبرنامج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ebf1dd" w:val="clear"/>
          </w:tcPr>
          <w:p w:rsidR="00000000" w:rsidDel="00000000" w:rsidP="00000000" w:rsidRDefault="00000000" w:rsidRPr="00000000" w14:paraId="0000011B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يوضح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التطهر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النجاسة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والاستنجاء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والاستجمار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الخفين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والتيمم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أحوال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الأعذار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والعيدين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الكسوف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والخسوف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والإستسقاء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ebf1dd" w:val="clear"/>
          </w:tcPr>
          <w:p w:rsidR="00000000" w:rsidDel="00000000" w:rsidP="00000000" w:rsidRDefault="00000000" w:rsidRPr="00000000" w14:paraId="0000012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يطبق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صفة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عمليا</w:t>
            </w:r>
            <w:r w:rsidDel="00000000" w:rsidR="00000000" w:rsidRPr="00000000">
              <w:rPr>
                <w:b w:val="1"/>
                <w:rtl w:val="1"/>
              </w:rPr>
              <w:t xml:space="preserve">ً.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الجنائز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ebf1dd" w:val="clea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ebf1dd" w:val="clear"/>
          </w:tcPr>
          <w:p w:rsidR="00000000" w:rsidDel="00000000" w:rsidP="00000000" w:rsidRDefault="00000000" w:rsidRPr="00000000" w14:paraId="0000013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الكفاءات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وتقنية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المعلومات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يلتزم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1"/>
        <w:bidi w:val="1"/>
        <w:rPr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sz w:val="24"/>
          <w:szCs w:val="24"/>
          <w:rtl w:val="1"/>
        </w:rPr>
        <w:t xml:space="preserve">ج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موضوعات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المقرر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المدخل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علم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الفقه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الطهارة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أهميته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تعلمه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وموضوعه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نشأة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وتطوره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بالمذاهب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الفقهية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الأربعة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وأبرز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أعلام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مذهب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مصادره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المعتمدة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5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الطهارة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المتطهر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الطهارة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الحدث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أقسام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والفروق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التطهر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المعالجة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الكثير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وبيانه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بالمقادير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وأثر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الاشتباه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والشك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طهارة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المياه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والملابس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ومواضع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والاستنجاء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والاستجمار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وسنن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الفطرة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E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الآنية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استعمالها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الأواني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اتخاذ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آنية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الذهب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واستعمالها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اتخاذ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الأواني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الثمينة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الذهب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استعمالها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2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الاستنجاء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والاستجمار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وآدابهما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الاستنجاء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الاستجمار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استعمال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أدوات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التنظيف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كالمناديل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ونحوها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الاستجمار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آداب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دخول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الخلاء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استقبال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القبلة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واستدبارها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8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الفطرة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السواك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الفطرة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الختان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للذكر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والأنثى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والمستحب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الاستحداد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ووقته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تقليم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الأظفار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ووقته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نتف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الإبط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والسنة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شعر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الشارب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واللحية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والرأس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5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السواك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تعريفه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وفضله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والمستحب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وقت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التسوك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وكيفيته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يقوم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مقام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السواك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أدوات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التنظيف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والغسل</w:t>
            </w:r>
          </w:p>
          <w:p w:rsidR="00000000" w:rsidDel="00000000" w:rsidP="00000000" w:rsidRDefault="00000000" w:rsidRPr="00000000" w14:paraId="00000163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وسننه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ونواقضه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فروض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الطهارة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والحدث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مكروهات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بالتفصيل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نواقض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يمنع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المحدث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حدثا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أصغر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C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موجبات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الغسل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وصفته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موجبات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الكامل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والغسل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المجزئ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إجزاء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المحدث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حدثا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الخفين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التيمم</w:t>
            </w:r>
          </w:p>
          <w:p w:rsidR="00000000" w:rsidDel="00000000" w:rsidP="00000000" w:rsidRDefault="00000000" w:rsidRPr="00000000" w14:paraId="00000175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المسح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فين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والحوائل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الحوائل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ومشروعية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الخفين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والحوائل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ابتداء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وانتهاء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يترتب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مبطلات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الخفين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والجوارب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والجبائر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وسائر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الحوائل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A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وصفته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وأدلة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مشروعيته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والحكمة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رافع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؟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وأثر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الخلاف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وأثر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تخلفها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بعضها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التطبيق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مبطلات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تيمم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ومسحه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وغسله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3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والنفاس</w:t>
            </w:r>
          </w:p>
          <w:p w:rsidR="00000000" w:rsidDel="00000000" w:rsidP="00000000" w:rsidRDefault="00000000" w:rsidRPr="00000000" w14:paraId="00000184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وأقسامها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وأقسامها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بحسب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الاعتبارات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النجاسات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المعفو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تطهير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النجاسات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8">
            <w:pPr>
              <w:widowControl w:val="0"/>
              <w:bidi w:val="1"/>
              <w:ind w:left="651" w:hanging="636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والاستحاضة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والنفاس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أدنى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ومنتهاه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أقل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وغالبها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وأكثرها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أبواب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العبادات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والنكاح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الحائض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651" w:right="0" w:hanging="636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الصفرة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والكدرة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وبعده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وأثناءه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الاستحاضة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المستحاضات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تطهر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المستحاضة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النفاس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النفاس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غالبا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وأقل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النفاس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وأكثره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يتعلق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بالنفاس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أبواب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العبادات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والنكاح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خروج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الحامل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الناشئ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الإسقاط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السادسة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الأذان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والإقامة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حقيقة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196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الأذان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الأذان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المؤذن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يستحب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صيغ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الأذان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والإقامة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وسننهما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ومبطلاتهما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لسامع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المؤذن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الأذان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وبعده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B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حقيقة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ومشروعيتها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وشروطها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ومشروعيتها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ومكانتها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تاركها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يترتب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الإخلال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الاختيارية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والاضطرارية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للصلوات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البلاد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يتميز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النهار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يطول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طولا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خارجا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المعتاد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سترها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غيرها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النظر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إليها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الرجل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وعورة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وحالات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الترخص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كشفها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وضوابط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وأثر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انكشاف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العورة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حامل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للنجاسة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متصل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ذلك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الأماكن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ينهى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استقبال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القبلة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بالنظر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أحوال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المصلي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ومكانه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تعيينها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يبطلها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قلبها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ومحلها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التشريك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الجهر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الإمامة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الائتمام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وأحكامهما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واختلاف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والمأموم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وواجباتها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وسننها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وصفتها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الصلاة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أركان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وواجباتها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وسننها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وواجباتها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والفروق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القولية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والفعلية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بالتفصيل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الفرق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الأفعال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المباحة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والمكروهة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جنس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وتأثيرها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مكروهات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والاستدلال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مبطلات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الفوائت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2">
            <w:pPr>
              <w:widowControl w:val="0"/>
              <w:tabs>
                <w:tab w:val="left" w:pos="368"/>
              </w:tabs>
              <w:bidi w:val="1"/>
              <w:ind w:left="84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السهو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سجود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</w:tabs>
              <w:bidi w:val="1"/>
              <w:spacing w:after="0" w:before="0" w:line="240" w:lineRule="auto"/>
              <w:ind w:left="84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أسباب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سجود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ومحله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سهو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الإمام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والمأموم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والمنفرد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الثامنة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التطوع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الجماعة</w:t>
            </w:r>
          </w:p>
          <w:p w:rsidR="00000000" w:rsidDel="00000000" w:rsidP="00000000" w:rsidRDefault="00000000" w:rsidRPr="00000000" w14:paraId="000001B9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التطوع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التطوع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وآكدها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الوتر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وقيام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التراويح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وعدد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ركعاتها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الرواتب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وتعدادها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الضحى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وعدد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ركعاتها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ووقتها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الأوقات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المنهي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التطوع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يجوز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يجوز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0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والعدد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تنعقد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تصح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إمامته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تصح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وإمامة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النساء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والأولى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بالإمامة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الاقتداء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بالإمام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الأعذار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المسقطة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التاسعة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الأعذار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الأعذار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وتحديد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والسفر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المبيحين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للقصر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والجمع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المريض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والعاجز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النقل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المتنوعة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قصر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جمع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أسبابه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وأحكامه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الجمعة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صحتها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تجب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تنعقد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خطبة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وأركانها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وسننها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بالتفصيل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720" w:right="0" w:hanging="36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قضائها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سنن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الجمعة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عشرة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صلاة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العيدين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والكسوف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والاستسقاء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صحتها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يستحب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تشرع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إقامة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بالتفصيل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خطبة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العيدين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قضائها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بالخسوف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والكسوف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صلاتهما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وحكمتهما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والكسوف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النداء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إليهما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والكسوف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قضائهما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"/>
                <w:tab w:val="left" w:pos="279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خطبة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والكسوف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"/>
                <w:tab w:val="left" w:pos="279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الاستسقاء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معناه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"/>
                <w:tab w:val="left" w:pos="279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الاستسقاء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ووقتها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أدائها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وآدابها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"/>
                <w:tab w:val="left" w:pos="279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الخطبة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الاستسقاء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6"/>
                <w:tab w:val="left" w:pos="279"/>
                <w:tab w:val="left" w:pos="509"/>
              </w:tabs>
              <w:bidi w:val="1"/>
              <w:spacing w:after="0" w:before="0" w:line="240" w:lineRule="auto"/>
              <w:ind w:left="0" w:right="0" w:firstLine="0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تدرك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الاستسقاء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قضائها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bidi w:val="1"/>
              <w:jc w:val="both"/>
              <w:rPr>
                <w:rFonts w:ascii="Traditional Arabic" w:cs="Traditional Arabic" w:eastAsia="Traditional Arabic" w:hAnsi="Traditional Arabic"/>
              </w:rPr>
            </w:pPr>
            <w:r w:rsidDel="00000000" w:rsidR="00000000" w:rsidRPr="00000000">
              <w:rPr>
                <w:rtl w:val="1"/>
              </w:rPr>
              <w:t xml:space="preserve">الوحدة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عشرة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الجنائز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وأحكامها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720" w:right="0" w:hanging="720"/>
              <w:jc w:val="left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تغسيل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الغاسل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صفاته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يشرع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تغسيله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الأموات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الكفن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والتكفين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وصفتها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وشروطها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الغائب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اتباع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جنازة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وغير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المسلم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دفن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تعذر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تغسيله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تغسيل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بعضه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دفن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يكره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فعله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يحرم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القبر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الدفن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وبعده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زيارة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القبور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وبيان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آدابها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"/>
                <w:tab w:val="left" w:pos="368"/>
                <w:tab w:val="left" w:pos="509"/>
              </w:tabs>
              <w:bidi w:val="1"/>
              <w:spacing w:after="0" w:before="0" w:line="240" w:lineRule="auto"/>
              <w:ind w:left="368" w:right="0" w:hanging="353"/>
              <w:jc w:val="both"/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التعزية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المراد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ودليل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مشروعيتها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الجلوس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ووسائلها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المباحة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وحكم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صنع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الطعام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لأهل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الميت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F7">
            <w:pPr>
              <w:bidi w:val="1"/>
              <w:rPr/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النعي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الجائز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والممنوع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،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وصوره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rtl w:val="1"/>
              </w:rPr>
              <w:t xml:space="preserve">المعاصرة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1F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Style w:val="Heading1"/>
        <w:bidi w:val="1"/>
        <w:rPr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التدريس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والتقييم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FF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trHeight w:val="400" w:hRule="atLeast"/>
        </w:trPr>
        <w:tc>
          <w:tcPr>
            <w:tcBorders>
              <w:bottom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المعارف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يوضح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التطهر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النجاسة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والاستنجاء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والاستجمار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  <w:p w:rsidR="00000000" w:rsidDel="00000000" w:rsidP="00000000" w:rsidRDefault="00000000" w:rsidRPr="00000000" w14:paraId="0000020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والحوار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والمناقشة</w:t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</w:p>
          <w:p w:rsidR="00000000" w:rsidDel="00000000" w:rsidP="00000000" w:rsidRDefault="00000000" w:rsidRPr="00000000" w14:paraId="0000020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شروط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الخفين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والتيمم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</w:tc>
        <w:tc>
          <w:tcPr/>
          <w:p w:rsidR="00000000" w:rsidDel="00000000" w:rsidP="00000000" w:rsidRDefault="00000000" w:rsidRPr="00000000" w14:paraId="000002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</w:p>
          <w:p w:rsidR="00000000" w:rsidDel="00000000" w:rsidP="00000000" w:rsidRDefault="00000000" w:rsidRPr="00000000" w14:paraId="000002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أحوال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أهل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الأعذار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  <w:p w:rsidR="00000000" w:rsidDel="00000000" w:rsidP="00000000" w:rsidRDefault="00000000" w:rsidRPr="00000000" w14:paraId="000002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</w:p>
          <w:p w:rsidR="00000000" w:rsidDel="00000000" w:rsidP="00000000" w:rsidRDefault="00000000" w:rsidRPr="00000000" w14:paraId="0000021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21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والعيدين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الكسوف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والخسوف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والاستسقاء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  <w:p w:rsidR="00000000" w:rsidDel="00000000" w:rsidP="00000000" w:rsidRDefault="00000000" w:rsidRPr="00000000" w14:paraId="0000021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والحوار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والمناقشة</w:t>
            </w:r>
          </w:p>
        </w:tc>
        <w:tc>
          <w:tcPr/>
          <w:p w:rsidR="00000000" w:rsidDel="00000000" w:rsidP="00000000" w:rsidRDefault="00000000" w:rsidRPr="00000000" w14:paraId="0000021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</w:p>
          <w:p w:rsidR="00000000" w:rsidDel="00000000" w:rsidP="00000000" w:rsidRDefault="00000000" w:rsidRPr="00000000" w14:paraId="0000021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22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يطبق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صفة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الصلاة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عمليا</w:t>
            </w:r>
            <w:r w:rsidDel="00000000" w:rsidR="00000000" w:rsidRPr="00000000">
              <w:rPr>
                <w:b w:val="1"/>
                <w:rtl w:val="1"/>
              </w:rPr>
              <w:t xml:space="preserve">ً.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22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</w:t>
            </w:r>
          </w:p>
          <w:p w:rsidR="00000000" w:rsidDel="00000000" w:rsidP="00000000" w:rsidRDefault="00000000" w:rsidRPr="00000000" w14:paraId="0000022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</w:p>
          <w:p w:rsidR="00000000" w:rsidDel="00000000" w:rsidP="00000000" w:rsidRDefault="00000000" w:rsidRPr="00000000" w14:paraId="0000022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22A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الجنائز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22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ذهني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الخرائط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الذهنية</w:t>
            </w:r>
          </w:p>
          <w:p w:rsidR="00000000" w:rsidDel="00000000" w:rsidP="00000000" w:rsidRDefault="00000000" w:rsidRPr="00000000" w14:paraId="0000022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الخرائط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الذهنية</w:t>
            </w:r>
          </w:p>
          <w:p w:rsidR="00000000" w:rsidDel="00000000" w:rsidP="00000000" w:rsidRDefault="00000000" w:rsidRPr="00000000" w14:paraId="0000022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والنهائية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الكفاءات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يستخدم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وتقنية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المعلومات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واجب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الواجب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يلتزم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بأخلاقيات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واجب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الواجب</w:t>
            </w:r>
          </w:p>
        </w:tc>
      </w:tr>
    </w:tbl>
    <w:p w:rsidR="00000000" w:rsidDel="00000000" w:rsidP="00000000" w:rsidRDefault="00000000" w:rsidRPr="00000000" w14:paraId="0000023B">
      <w:pPr>
        <w:pStyle w:val="Heading2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Style w:val="Heading2"/>
        <w:bidi w:val="1"/>
        <w:rPr/>
      </w:pPr>
      <w:bookmarkStart w:colFirst="0" w:colLast="0" w:name="_heading=h.sh77kvimtuku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6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4950"/>
        <w:gridCol w:w="1950"/>
        <w:gridCol w:w="2247"/>
        <w:tblGridChange w:id="0">
          <w:tblGrid>
            <w:gridCol w:w="421"/>
            <w:gridCol w:w="4950"/>
            <w:gridCol w:w="1950"/>
            <w:gridCol w:w="2247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2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بالأسبوع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4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أول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ثاني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الحادي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واجبات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يختار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10%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5%</w:t>
            </w:r>
          </w:p>
        </w:tc>
      </w:tr>
      <w:t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خريطة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ذهنية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5%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5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25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جدول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الأختبارات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25A">
            <w:pPr>
              <w:bidi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40%</w:t>
            </w:r>
          </w:p>
        </w:tc>
      </w:tr>
    </w:tbl>
    <w:p w:rsidR="00000000" w:rsidDel="00000000" w:rsidP="00000000" w:rsidRDefault="00000000" w:rsidRPr="00000000" w14:paraId="0000025B">
      <w:pPr>
        <w:bidi w:val="1"/>
        <w:rPr/>
      </w:pP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اختبار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شفهي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5C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Style w:val="Heading1"/>
        <w:bidi w:val="1"/>
        <w:rPr>
          <w:sz w:val="24"/>
          <w:szCs w:val="24"/>
        </w:rPr>
      </w:pPr>
      <w:bookmarkStart w:colFirst="0" w:colLast="0" w:name="_heading=h.26in1rg" w:id="13"/>
      <w:bookmarkEnd w:id="13"/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أنشطة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الإرشاد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الأكاديمي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والدعم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الطلابي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25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مكتبية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للعضو</w:t>
            </w:r>
          </w:p>
          <w:p w:rsidR="00000000" w:rsidDel="00000000" w:rsidP="00000000" w:rsidRDefault="00000000" w:rsidRPr="00000000" w14:paraId="0000026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الإرشاد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الأعضاء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1">
            <w:pPr>
              <w:bidi w:val="1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rtl w:val="1"/>
              </w:rPr>
              <w:t xml:space="preserve">إتاحة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البلاك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بور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62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Style w:val="Heading1"/>
        <w:bidi w:val="1"/>
        <w:rPr>
          <w:sz w:val="24"/>
          <w:szCs w:val="24"/>
        </w:rPr>
      </w:pPr>
      <w:bookmarkStart w:colFirst="0" w:colLast="0" w:name="_heading=h.lnxbz9" w:id="14"/>
      <w:bookmarkEnd w:id="14"/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والمرافق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26B">
      <w:pPr>
        <w:pStyle w:val="Heading2"/>
        <w:bidi w:val="1"/>
        <w:rPr/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1980"/>
        <w:gridCol w:w="7605"/>
        <w:tblGridChange w:id="0">
          <w:tblGrid>
            <w:gridCol w:w="1980"/>
            <w:gridCol w:w="7605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الإمداد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بتيسير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الزاد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زاد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المستقنع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،</w:t>
              <w:tab/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فوزان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الفوزان</w:t>
            </w:r>
          </w:p>
          <w:p w:rsidR="00000000" w:rsidDel="00000000" w:rsidP="00000000" w:rsidRDefault="00000000" w:rsidRPr="00000000" w14:paraId="0000026E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التوحيد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الطبعة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1436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هـ</w:t>
            </w:r>
          </w:p>
        </w:tc>
      </w:tr>
      <w:tr>
        <w:trPr>
          <w:trHeight w:val="72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70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الشرح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الممتع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زاد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المستقنع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عثيمين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مكتبة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الجوزي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الطبعة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1425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هـ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271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شرح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عمدة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  <w:tab/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العزيز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الجبرين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كرسي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  <w:tab/>
              <w:t xml:space="preserve">1429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272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الملخص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  <w:tab/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فوزان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الفوزان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مكتبة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الجوزي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الطبعة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الرابعة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عشر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1421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هـ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المجمع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الفقهي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                                              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https://themwl.org/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مجمع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الدولي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                                 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http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://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www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iifa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aifi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org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276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اللجنة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الدائمة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للإفتاء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بالمملكة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            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https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://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www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dorar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net</w:t>
            </w:r>
          </w:p>
          <w:p w:rsidR="00000000" w:rsidDel="00000000" w:rsidP="00000000" w:rsidRDefault="00000000" w:rsidRPr="00000000" w14:paraId="000002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الشيخ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العزيز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باز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                                    </w:t>
            </w:r>
            <w:hyperlink r:id="rId8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http://www.binbaz.org.sa/</w:t>
              </w:r>
            </w:hyperlink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عثيمين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http://binothaimeen.net/site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          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http://shamela.ws/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bidi w:val="1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موقع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السنية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      </w:t>
            </w: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https://www.dorar.net/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7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الحاسوبي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للمكتبة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الشاملة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27D">
            <w:pPr>
              <w:bidi w:val="1"/>
              <w:ind w:left="72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جامع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شركة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التراث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للبرمجيات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7E">
      <w:pPr>
        <w:pStyle w:val="Heading2"/>
        <w:bidi w:val="1"/>
        <w:rPr/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Style w:val="Heading2"/>
        <w:bidi w:val="1"/>
        <w:rPr/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8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المختبرات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المحاكاة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إلخ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قاعة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جيدة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التهوية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والإنارة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تتسع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( 40 )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طالبا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8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جهاز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الذكية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البرمجيات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8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المنصة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والاتصال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بالانترنت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تبعا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لطبيعة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التخصص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Style w:val="Heading1"/>
        <w:bidi w:val="1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ز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تقويم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جودة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المقرر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571.000000000002" w:type="dxa"/>
        <w:jc w:val="left"/>
        <w:tblInd w:w="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8E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>
                <w:b w:val="1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مباشر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مباشر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مباشر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مباشر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التحقق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مصداقية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النظير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مباشر</w:t>
            </w:r>
          </w:p>
        </w:tc>
      </w:tr>
    </w:tbl>
    <w:p w:rsidR="00000000" w:rsidDel="00000000" w:rsidP="00000000" w:rsidRDefault="00000000" w:rsidRPr="00000000" w14:paraId="0000029F">
      <w:pPr>
        <w:bidi w:val="1"/>
        <w:rPr>
          <w:color w:val="c00000"/>
        </w:rPr>
      </w:pPr>
      <w:bookmarkStart w:colFirst="0" w:colLast="0" w:name="_heading=h.1y810tw" w:id="19"/>
      <w:bookmarkEnd w:id="19"/>
      <w:r w:rsidDel="00000000" w:rsidR="00000000" w:rsidRPr="00000000">
        <w:rPr>
          <w:color w:val="c00000"/>
          <w:rtl w:val="1"/>
        </w:rPr>
        <w:t xml:space="preserve">مجالات</w:t>
      </w:r>
      <w:r w:rsidDel="00000000" w:rsidR="00000000" w:rsidRPr="00000000">
        <w:rPr>
          <w:color w:val="c00000"/>
          <w:rtl w:val="1"/>
        </w:rPr>
        <w:t xml:space="preserve"> </w:t>
      </w:r>
      <w:r w:rsidDel="00000000" w:rsidR="00000000" w:rsidRPr="00000000">
        <w:rPr>
          <w:color w:val="c00000"/>
          <w:rtl w:val="1"/>
        </w:rPr>
        <w:t xml:space="preserve">التقويم</w:t>
      </w:r>
      <w:r w:rsidDel="00000000" w:rsidR="00000000" w:rsidRPr="00000000">
        <w:rPr>
          <w:color w:val="c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bidi w:val="1"/>
        <w:rPr/>
      </w:pPr>
      <w:bookmarkStart w:colFirst="0" w:colLast="0" w:name="_heading=h.4i7ojhp" w:id="20"/>
      <w:bookmarkEnd w:id="20"/>
      <w:r w:rsidDel="00000000" w:rsidR="00000000" w:rsidRPr="00000000">
        <w:rPr>
          <w:color w:val="c00000"/>
          <w:rtl w:val="1"/>
        </w:rPr>
        <w:t xml:space="preserve">المقيمون</w:t>
      </w:r>
      <w:r w:rsidDel="00000000" w:rsidR="00000000" w:rsidRPr="00000000">
        <w:rPr>
          <w:color w:val="c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قيادات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تحديدها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2A1">
      <w:pPr>
        <w:bidi w:val="1"/>
        <w:rPr>
          <w:b w:val="1"/>
          <w:color w:val="c00000"/>
        </w:rPr>
      </w:pPr>
      <w:r w:rsidDel="00000000" w:rsidR="00000000" w:rsidRPr="00000000">
        <w:rPr>
          <w:color w:val="c00000"/>
          <w:rtl w:val="1"/>
        </w:rPr>
        <w:t xml:space="preserve">طرق</w:t>
      </w:r>
      <w:r w:rsidDel="00000000" w:rsidR="00000000" w:rsidRPr="00000000">
        <w:rPr>
          <w:color w:val="c00000"/>
          <w:rtl w:val="1"/>
        </w:rPr>
        <w:t xml:space="preserve"> </w:t>
      </w:r>
      <w:r w:rsidDel="00000000" w:rsidR="00000000" w:rsidRPr="00000000">
        <w:rPr>
          <w:color w:val="c00000"/>
          <w:rtl w:val="1"/>
        </w:rPr>
        <w:t xml:space="preserve">التقييم</w:t>
      </w:r>
      <w:r w:rsidDel="00000000" w:rsidR="00000000" w:rsidRPr="00000000">
        <w:rPr>
          <w:color w:val="c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bidi w:val="1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Style w:val="Heading1"/>
        <w:bidi w:val="1"/>
        <w:rPr>
          <w:sz w:val="24"/>
          <w:szCs w:val="24"/>
        </w:rPr>
      </w:pPr>
      <w:bookmarkStart w:colFirst="0" w:colLast="0" w:name="_heading=h.2xcytpi" w:id="21"/>
      <w:bookmarkEnd w:id="21"/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اعتماد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التوصيف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2A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A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A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A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2A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A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bidi w:val="1"/>
        <w:rPr>
          <w:smallCaps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even"/>
      <w:pgSz w:h="16840" w:w="11907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ungsuh"/>
  <w:font w:name="Traditional Arabic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390525" cy="183832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5500" y="2865600"/>
                        <a:ext cx="381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0" w:right="0" w:firstLine="0"/>
                            <w:jc w:val="center"/>
                            <w:textDirection w:val="tbRl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  \* MERGEFORMAT 11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50800</wp:posOffset>
              </wp:positionV>
              <wp:extent cx="390525" cy="1838325"/>
              <wp:effectExtent b="0" l="0" r="0" t="0"/>
              <wp:wrapSquare wrapText="bothSides" distB="0" distT="0" distL="114300" distR="11430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563347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563347"/>
    <w:rPr>
      <w:rFonts w:asciiTheme="majorBidi" w:cstheme="majorBidi" w:hAnsiTheme="majorBidi"/>
      <w:b w:val="1"/>
      <w:bCs w:val="1"/>
      <w:color w:val="c00000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msolistparagraph0" w:customStyle="1">
    <w:name w:val="msolistparagraph"/>
    <w:basedOn w:val="a"/>
    <w:rsid w:val="00BB2261"/>
    <w:pPr>
      <w:bidi w:val="1"/>
      <w:spacing w:after="200" w:line="276" w:lineRule="auto"/>
      <w:ind w:left="720"/>
      <w:contextualSpacing w:val="1"/>
    </w:pPr>
    <w:rPr>
      <w:rFonts w:ascii="Calibri" w:cs="Arial" w:hAnsi="Calibri"/>
      <w:sz w:val="22"/>
      <w:szCs w:val="22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orar.net/" TargetMode="External"/><Relationship Id="rId10" Type="http://schemas.openxmlformats.org/officeDocument/2006/relationships/hyperlink" Target="http://shamela.ws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nothaimeen.net/site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hemwl.org/" TargetMode="External"/><Relationship Id="rId8" Type="http://schemas.openxmlformats.org/officeDocument/2006/relationships/hyperlink" Target="http://www.binbaz.org.sa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1V0dxVJdouWYB5NaUzlKUhetAQ==">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2019-10-31T15:04:00Z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