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B5F" w:rsidRPr="00C3318C" w:rsidRDefault="006E4B5F" w:rsidP="006E4B5F">
      <w:pPr>
        <w:tabs>
          <w:tab w:val="left" w:pos="600"/>
          <w:tab w:val="center" w:pos="5103"/>
        </w:tabs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3318C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توصيف مقرر </w:t>
      </w:r>
      <w:proofErr w:type="spellStart"/>
      <w:r w:rsidRPr="00C3318C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:</w:t>
      </w:r>
      <w:proofErr w:type="spellEnd"/>
      <w:r w:rsidRPr="00C3318C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306 خاص إدارة وضبط السلوك</w:t>
      </w:r>
    </w:p>
    <w:p w:rsidR="006E4B5F" w:rsidRPr="00C3318C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</w:p>
    <w:tbl>
      <w:tblPr>
        <w:tblStyle w:val="a3"/>
        <w:bidiVisual/>
        <w:tblW w:w="10980" w:type="dxa"/>
        <w:tblInd w:w="-1486" w:type="dxa"/>
        <w:tblLook w:val="01E0"/>
      </w:tblPr>
      <w:tblGrid>
        <w:gridCol w:w="1980"/>
        <w:gridCol w:w="2700"/>
        <w:gridCol w:w="3960"/>
        <w:gridCol w:w="2340"/>
      </w:tblGrid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رمز المقرر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306 خاص</w:t>
            </w:r>
          </w:p>
        </w:tc>
        <w:tc>
          <w:tcPr>
            <w:tcW w:w="270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اسم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المقرر: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إدارة وضبط السلوك</w:t>
            </w:r>
          </w:p>
        </w:tc>
        <w:tc>
          <w:tcPr>
            <w:tcW w:w="396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المتطلبات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السابقة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268 خاص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+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275 خاص</w:t>
            </w:r>
          </w:p>
        </w:tc>
        <w:tc>
          <w:tcPr>
            <w:tcW w:w="234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الوحدات الدراسية :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ثلاث ساعات 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9000" w:type="dxa"/>
            <w:gridSpan w:val="3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أ/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منيرة الماجد 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أهداف المقرر:</w:t>
            </w:r>
          </w:p>
        </w:tc>
        <w:tc>
          <w:tcPr>
            <w:tcW w:w="9000" w:type="dxa"/>
            <w:gridSpan w:val="3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يهدف المقرر لتزويد الطلبة بخلفيه عامه عن مفهوم إدارة وضبط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السلوك,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وتعريف السلوك السوي ومعايير الحكم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عليه,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وتحديد وتصنيف السلوك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المشكل,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وأهم أساليب الكشف عن السلوك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المشكل,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وأهم استراتيجيات إدارة وضبط السلوك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المشكل,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وأسباب المشكلات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الصفية,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والعوامل التي تؤثر في إدارة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الصف,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وأهم السلوكيات المشكلة لدى الأطفال وسبل إدارتها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المرجع الرئيس </w:t>
            </w:r>
          </w:p>
        </w:tc>
        <w:tc>
          <w:tcPr>
            <w:tcW w:w="9000" w:type="dxa"/>
            <w:gridSpan w:val="3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ميسون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مجاهد (2011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إدارة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وضبط </w:t>
            </w: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السلوك الصفي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،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الرياض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دار الزهراء</w:t>
            </w:r>
          </w:p>
          <w:p w:rsidR="006E4B5F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مصطفى 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القمش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وخليل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المعايطه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(2011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الاضطرابات السلوكية و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الانفعالية،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عمان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دار المسيرة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6E4B5F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سيد أحمد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السيد علي(2012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إدارة وضبط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السلوك،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الرياض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دار الزهراء.</w:t>
            </w:r>
          </w:p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خطة التقييم</w:t>
            </w:r>
          </w:p>
        </w:tc>
        <w:tc>
          <w:tcPr>
            <w:tcW w:w="270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الاختبار الفصلي :30 درجة </w:t>
            </w:r>
          </w:p>
        </w:tc>
        <w:tc>
          <w:tcPr>
            <w:tcW w:w="396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مهام فصلية 30 درجة</w:t>
            </w:r>
          </w:p>
        </w:tc>
        <w:tc>
          <w:tcPr>
            <w:tcW w:w="234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الاختبار النهائي :40 درجة 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متطلبات المقرر الفصلية</w:t>
            </w:r>
          </w:p>
        </w:tc>
        <w:tc>
          <w:tcPr>
            <w:tcW w:w="9000" w:type="dxa"/>
            <w:gridSpan w:val="3"/>
          </w:tcPr>
          <w:p w:rsidR="006E4B5F" w:rsidRPr="00C3318C" w:rsidRDefault="006E4B5F" w:rsidP="006E4B5F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الاختبار الفصلي 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(30 درجة 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 بتاريخ 2/1 /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1435ه</w:t>
            </w:r>
            <w:proofErr w:type="spellEnd"/>
          </w:p>
          <w:p w:rsidR="006E4B5F" w:rsidRPr="00C3318C" w:rsidRDefault="006E4B5F" w:rsidP="006E4B5F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تصميم وعرض تقديمي 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لاحد</w:t>
            </w:r>
            <w:proofErr w:type="spellEnd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موضوعات المقرر (سيتم توزيعها من قبل استاذة المقرر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(10 درجات 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)</w:t>
            </w:r>
            <w:proofErr w:type="spellEnd"/>
          </w:p>
          <w:p w:rsidR="006E4B5F" w:rsidRPr="00C3318C" w:rsidRDefault="006E4B5F" w:rsidP="00E34BCD">
            <w:pPr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3. المشاركة والمناقشات الصفية للمحاضرة 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(10 درجات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 xml:space="preserve"> </w:t>
            </w:r>
          </w:p>
          <w:p w:rsidR="006E4B5F" w:rsidRPr="00C3318C" w:rsidRDefault="006E4B5F" w:rsidP="00E34BCD">
            <w:pPr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4. زيارة ميدانية لأحد مراكز التربية الخاصة وكتابة تقرير 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عنها.</w:t>
            </w:r>
            <w:proofErr w:type="spellEnd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10درجات)</w:t>
            </w:r>
            <w:proofErr w:type="spellEnd"/>
          </w:p>
          <w:p w:rsidR="006E4B5F" w:rsidRPr="00C3318C" w:rsidRDefault="006E4B5F" w:rsidP="00E34BCD">
            <w:pPr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5. إعداد وتسليم ملف إنجاز 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إلكتروني وورقي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يحتوي على السيرة الذاتية للطالبة و كافة أعمال الطالبة طوال الفصل الدراسي بتاريخ أقصاه 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الأحد22</w:t>
            </w:r>
            <w:proofErr w:type="spellEnd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/2/</w:t>
            </w:r>
            <w:proofErr w:type="spellStart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1435ه</w:t>
            </w:r>
            <w:proofErr w:type="spellEnd"/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علمًا بأنه سيتم إنقاص درجة عن كل يوم تأخير لمن لم تسلم المتطلب بالموعد المحدد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الحضور للمقرر </w:t>
            </w:r>
          </w:p>
        </w:tc>
        <w:tc>
          <w:tcPr>
            <w:tcW w:w="9000" w:type="dxa"/>
            <w:gridSpan w:val="3"/>
          </w:tcPr>
          <w:p w:rsidR="006E4B5F" w:rsidRPr="00C3318C" w:rsidRDefault="006E4B5F" w:rsidP="006E4B5F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يتم احتساب الحضور والغياب بعد مضي 10 دقائق من بدء  المحاضرة </w:t>
            </w:r>
          </w:p>
          <w:p w:rsidR="006E4B5F" w:rsidRPr="00C3318C" w:rsidRDefault="006E4B5F" w:rsidP="006E4B5F">
            <w:pPr>
              <w:numPr>
                <w:ilvl w:val="0"/>
                <w:numId w:val="3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في حاله غياب الطالبة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25%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من المحاضرات يعطى لها انذار و في حال غيابها </w:t>
            </w:r>
            <w:proofErr w:type="spellStart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>50%</w:t>
            </w:r>
            <w:proofErr w:type="spellEnd"/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من المحاضر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ات تحرم من دخول الاختبار النهائ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 للمقرر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وفق لوائح الكلية للحضور والغياب 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للتواصل </w:t>
            </w:r>
          </w:p>
        </w:tc>
        <w:tc>
          <w:tcPr>
            <w:tcW w:w="9000" w:type="dxa"/>
            <w:gridSpan w:val="3"/>
          </w:tcPr>
          <w:p w:rsidR="006E4B5F" w:rsidRPr="00C3318C" w:rsidRDefault="006E4B5F" w:rsidP="00E34BCD">
            <w:pPr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البريد الالكتروني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hyperlink r:id="rId5" w:history="1">
              <w:r w:rsidRPr="00C3318C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munalmajed@hotmail.com</w:t>
              </w:r>
            </w:hyperlink>
            <w:r w:rsidRPr="00C3318C">
              <w:rPr>
                <w:rFonts w:ascii="Traditional Arabic" w:hAnsi="Traditional Arabic" w:cs="Traditional Arabic"/>
                <w:sz w:val="28"/>
                <w:szCs w:val="28"/>
              </w:rPr>
              <w:t xml:space="preserve">   </w:t>
            </w:r>
          </w:p>
          <w:p w:rsidR="006E4B5F" w:rsidRPr="00C3318C" w:rsidRDefault="006E4B5F" w:rsidP="00E34BCD">
            <w:pPr>
              <w:tabs>
                <w:tab w:val="left" w:pos="600"/>
                <w:tab w:val="center" w:pos="5103"/>
              </w:tabs>
              <w:rPr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الصفحة الرئيسية للمحاضر</w:t>
            </w:r>
            <w:r w:rsidRPr="00C3318C">
              <w:rPr>
                <w:rFonts w:hint="cs"/>
                <w:sz w:val="28"/>
                <w:szCs w:val="28"/>
                <w:rtl/>
              </w:rPr>
              <w:t xml:space="preserve">:  </w:t>
            </w:r>
            <w:hyperlink r:id="rId6" w:history="1">
              <w:r w:rsidRPr="00C3318C">
                <w:rPr>
                  <w:rStyle w:val="Hyperlink"/>
                  <w:sz w:val="28"/>
                  <w:szCs w:val="28"/>
                </w:rPr>
                <w:t>http://fac.ksu.edu.sa/malmaged/home</w:t>
              </w:r>
            </w:hyperlink>
          </w:p>
          <w:p w:rsidR="006E4B5F" w:rsidRPr="00C3318C" w:rsidRDefault="006E4B5F" w:rsidP="00E34BCD">
            <w:pPr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6E4B5F" w:rsidRPr="00C3318C" w:rsidRDefault="006E4B5F" w:rsidP="00E34BCD">
            <w:pPr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الساعات المكتبية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الأحد (8-10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_ الخميس(11-12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</w:p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</w:tbl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</w:p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</w:p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</w:p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</w:p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</w:p>
    <w:p w:rsidR="006E4B5F" w:rsidRPr="00C3318C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  <w:r w:rsidRPr="00C3318C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u w:val="single"/>
          <w:rtl/>
        </w:rPr>
        <w:lastRenderedPageBreak/>
        <w:t>الموضوعات التي يغطيها المقرر:</w:t>
      </w:r>
    </w:p>
    <w:p w:rsidR="006E4B5F" w:rsidRPr="00C3318C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</w:p>
    <w:tbl>
      <w:tblPr>
        <w:tblStyle w:val="a3"/>
        <w:bidiVisual/>
        <w:tblW w:w="9951" w:type="dxa"/>
        <w:tblInd w:w="-946" w:type="dxa"/>
        <w:tblLook w:val="01E0"/>
      </w:tblPr>
      <w:tblGrid>
        <w:gridCol w:w="1351"/>
        <w:gridCol w:w="4493"/>
        <w:gridCol w:w="4107"/>
      </w:tblGrid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المفردات </w:t>
            </w:r>
          </w:p>
        </w:tc>
        <w:tc>
          <w:tcPr>
            <w:tcW w:w="4107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الأول 5/11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تهيئة </w:t>
            </w:r>
          </w:p>
        </w:tc>
        <w:tc>
          <w:tcPr>
            <w:tcW w:w="4107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الثاني 12/11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التعريف بمفهوم إدارة وضبط السلوك</w:t>
            </w: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841D2">
              <w:rPr>
                <w:sz w:val="26"/>
                <w:szCs w:val="26"/>
                <w:rtl/>
              </w:rPr>
              <w:t xml:space="preserve">217-236 و 149-186 مرجع 1 </w:t>
            </w:r>
            <w:proofErr w:type="spellStart"/>
            <w:r w:rsidRPr="00D841D2">
              <w:rPr>
                <w:sz w:val="26"/>
                <w:szCs w:val="26"/>
                <w:rtl/>
              </w:rPr>
              <w:t>،</w:t>
            </w:r>
            <w:proofErr w:type="spellEnd"/>
            <w:r w:rsidRPr="00D841D2">
              <w:rPr>
                <w:sz w:val="26"/>
                <w:szCs w:val="26"/>
                <w:rtl/>
              </w:rPr>
              <w:t xml:space="preserve"> 303-337 مرجع 2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الثالث 19/11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57B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السلوك المشكل </w:t>
            </w:r>
            <w:proofErr w:type="spellStart"/>
            <w:r w:rsidRPr="00557B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557B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تعريفه </w:t>
            </w:r>
            <w:proofErr w:type="spellStart"/>
            <w:r w:rsidRPr="00557B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57B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معايير الحكم على السلوك السوي وتصنيف المشكلات السلوكية</w:t>
            </w:r>
          </w:p>
        </w:tc>
        <w:tc>
          <w:tcPr>
            <w:tcW w:w="4107" w:type="dxa"/>
            <w:vAlign w:val="center"/>
          </w:tcPr>
          <w:p w:rsidR="006E4B5F" w:rsidRPr="00D841D2" w:rsidRDefault="006E4B5F" w:rsidP="00E34BCD">
            <w:pPr>
              <w:rPr>
                <w:sz w:val="26"/>
                <w:szCs w:val="26"/>
                <w:rtl/>
              </w:rPr>
            </w:pPr>
            <w:r w:rsidRPr="00D841D2">
              <w:rPr>
                <w:sz w:val="26"/>
                <w:szCs w:val="26"/>
                <w:rtl/>
              </w:rPr>
              <w:t>3-18 و مرجع 1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الرابع 26/11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BH"/>
              </w:rPr>
            </w:pPr>
            <w:r w:rsidRPr="00557B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أساليب التعرف على السلوك المشكل</w:t>
            </w:r>
          </w:p>
        </w:tc>
        <w:tc>
          <w:tcPr>
            <w:tcW w:w="4107" w:type="dxa"/>
            <w:vAlign w:val="center"/>
          </w:tcPr>
          <w:p w:rsidR="006E4B5F" w:rsidRPr="00D841D2" w:rsidRDefault="006E4B5F" w:rsidP="00E34BCD">
            <w:pPr>
              <w:rPr>
                <w:sz w:val="26"/>
                <w:szCs w:val="26"/>
                <w:rtl/>
              </w:rPr>
            </w:pPr>
            <w:r w:rsidRPr="00D841D2">
              <w:rPr>
                <w:sz w:val="26"/>
                <w:szCs w:val="26"/>
                <w:rtl/>
              </w:rPr>
              <w:t>23-32 مرجع 1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الخامس 18/12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73F2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أسباب المشكلات الصفية.</w:t>
            </w:r>
          </w:p>
        </w:tc>
        <w:tc>
          <w:tcPr>
            <w:tcW w:w="4107" w:type="dxa"/>
            <w:vAlign w:val="center"/>
          </w:tcPr>
          <w:p w:rsidR="006E4B5F" w:rsidRPr="00D841D2" w:rsidRDefault="006E4B5F" w:rsidP="00E34BCD">
            <w:pPr>
              <w:rPr>
                <w:sz w:val="26"/>
                <w:szCs w:val="26"/>
                <w:rtl/>
                <w:lang w:val="en-GB"/>
              </w:rPr>
            </w:pPr>
            <w:proofErr w:type="spellStart"/>
            <w:r w:rsidRPr="00D841D2">
              <w:rPr>
                <w:sz w:val="26"/>
                <w:szCs w:val="26"/>
                <w:lang w:val="en-GB"/>
              </w:rPr>
              <w:t>المحاضرة</w:t>
            </w:r>
            <w:proofErr w:type="spellEnd"/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السادس 25/12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زيارة ميدانية</w:t>
            </w:r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السابع 2/1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إدارة السلوك 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4107" w:type="dxa"/>
            <w:vAlign w:val="center"/>
          </w:tcPr>
          <w:p w:rsidR="006E4B5F" w:rsidRDefault="006E4B5F" w:rsidP="00E34BCD">
            <w:pPr>
              <w:rPr>
                <w:rFonts w:hint="cs"/>
                <w:sz w:val="26"/>
                <w:szCs w:val="26"/>
                <w:rtl/>
              </w:rPr>
            </w:pPr>
            <w:r w:rsidRPr="00D841D2">
              <w:rPr>
                <w:sz w:val="26"/>
                <w:szCs w:val="26"/>
                <w:rtl/>
              </w:rPr>
              <w:t>237-277 مرجع 1</w:t>
            </w:r>
          </w:p>
          <w:p w:rsidR="006E4B5F" w:rsidRPr="00D841D2" w:rsidRDefault="006E4B5F" w:rsidP="00E34BCD">
            <w:pPr>
              <w:rPr>
                <w:sz w:val="26"/>
                <w:szCs w:val="26"/>
                <w:rtl/>
              </w:rPr>
            </w:pP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الثامن 9/1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التاسع 16/1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إدارة السلوك(2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6"/>
                <w:szCs w:val="26"/>
                <w:rtl/>
              </w:rPr>
              <w:t>ص97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>-132 مرجع 3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العاشر 23/1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ضبط السلوك المشكل</w:t>
            </w:r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ص34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-110 المرجع الاول</w:t>
            </w:r>
          </w:p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ص135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-162 المرجع الثالث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الحادي عشر 1/2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أهم المشكلات السلوكية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واساليب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إدارتها وضبطها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()</w:t>
            </w:r>
            <w:proofErr w:type="spellEnd"/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عروض الطالبات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الثاني عشر 8/2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أهم المشكلات السلوكية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واساليب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إدارتها وضبطها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()</w:t>
            </w:r>
            <w:proofErr w:type="spellEnd"/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عروض الطالبات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الثالث عشر 15/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أهم المشكلات السلوكية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واساليب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إدارتها وضبطها (الخجل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الانسحاب الاجتماعي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ص223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-254 المرجع الثاني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الرابع عشر 22/2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أهم المشكلات السلوكية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واساليب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إدارتها وضبطها (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االعدوان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العناد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القلق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4107" w:type="dxa"/>
          </w:tcPr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العدوان (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ص202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-222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المرجع الثاني</w:t>
            </w:r>
          </w:p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العناد(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ص126</w:t>
            </w:r>
            <w:proofErr w:type="spellEnd"/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—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128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المرجع الاول</w:t>
            </w:r>
          </w:p>
          <w:p w:rsidR="006E4B5F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القلق(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ص255</w:t>
            </w:r>
            <w:proofErr w:type="spellEnd"/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—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271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المرجع الثاني</w:t>
            </w: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الخامس عشر 29/2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مراجعة عامة </w:t>
            </w:r>
          </w:p>
        </w:tc>
        <w:tc>
          <w:tcPr>
            <w:tcW w:w="4107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  <w:tr w:rsidR="006E4B5F" w:rsidRPr="00C3318C" w:rsidTr="00E34BCD">
        <w:tc>
          <w:tcPr>
            <w:tcW w:w="1351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السادس عشر 6/3</w:t>
            </w:r>
          </w:p>
        </w:tc>
        <w:tc>
          <w:tcPr>
            <w:tcW w:w="4493" w:type="dxa"/>
          </w:tcPr>
          <w:p w:rsidR="006E4B5F" w:rsidRPr="00C3318C" w:rsidRDefault="006E4B5F" w:rsidP="00E34BC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الاختبارات النهائية</w:t>
            </w:r>
          </w:p>
        </w:tc>
        <w:tc>
          <w:tcPr>
            <w:tcW w:w="4107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BH"/>
        </w:rPr>
      </w:pPr>
    </w:p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BH"/>
        </w:rPr>
      </w:pPr>
    </w:p>
    <w:p w:rsidR="006E4B5F" w:rsidRDefault="006E4B5F" w:rsidP="006E4B5F">
      <w:pPr>
        <w:tabs>
          <w:tab w:val="left" w:pos="600"/>
          <w:tab w:val="center" w:pos="5103"/>
        </w:tabs>
        <w:jc w:val="left"/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  <w:lang w:bidi="ar-BH"/>
        </w:rPr>
      </w:pPr>
    </w:p>
    <w:p w:rsidR="00F90885" w:rsidRDefault="00F90885" w:rsidP="006E4B5F">
      <w:pPr>
        <w:ind w:left="566"/>
        <w:rPr>
          <w:rFonts w:hint="cs"/>
          <w:rtl/>
        </w:rPr>
      </w:pPr>
    </w:p>
    <w:p w:rsidR="006E4B5F" w:rsidRDefault="006E4B5F" w:rsidP="006E4B5F">
      <w:pPr>
        <w:ind w:left="566"/>
        <w:rPr>
          <w:rFonts w:hint="cs"/>
          <w:rtl/>
        </w:rPr>
      </w:pPr>
    </w:p>
    <w:tbl>
      <w:tblPr>
        <w:bidiVisual/>
        <w:tblW w:w="96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616"/>
        <w:gridCol w:w="1790"/>
        <w:gridCol w:w="2428"/>
      </w:tblGrid>
      <w:tr w:rsidR="006E4B5F" w:rsidRPr="00C3318C" w:rsidTr="00E34BCD">
        <w:trPr>
          <w:jc w:val="right"/>
        </w:trPr>
        <w:tc>
          <w:tcPr>
            <w:tcW w:w="77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 xml:space="preserve">رقم </w:t>
            </w:r>
          </w:p>
        </w:tc>
        <w:tc>
          <w:tcPr>
            <w:tcW w:w="461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طبيعة مهمة التقييم 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(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كتابة مقال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،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اختبار،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مشروع جماعي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،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اختبار نهائي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،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...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90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الأسبوع المحدد  له</w:t>
            </w:r>
          </w:p>
        </w:tc>
        <w:tc>
          <w:tcPr>
            <w:tcW w:w="2428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6E4B5F" w:rsidRPr="00C3318C" w:rsidTr="00E34BCD">
        <w:trPr>
          <w:jc w:val="right"/>
        </w:trPr>
        <w:tc>
          <w:tcPr>
            <w:tcW w:w="77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4616" w:type="dxa"/>
          </w:tcPr>
          <w:p w:rsidR="006E4B5F" w:rsidRPr="00C3318C" w:rsidRDefault="006E4B5F" w:rsidP="00E34BCD">
            <w:pPr>
              <w:tabs>
                <w:tab w:val="left" w:pos="288"/>
                <w:tab w:val="center" w:pos="2200"/>
                <w:tab w:val="left" w:pos="3299"/>
              </w:tabs>
              <w:jc w:val="left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ab/>
            </w:r>
            <w: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ab/>
            </w: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الاختبار الفصلي</w:t>
            </w:r>
            <w: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ab/>
            </w:r>
          </w:p>
        </w:tc>
        <w:tc>
          <w:tcPr>
            <w:tcW w:w="1790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الأسبوع</w:t>
            </w: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السابع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(2/1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2428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30%</w:t>
            </w:r>
          </w:p>
        </w:tc>
      </w:tr>
      <w:tr w:rsidR="006E4B5F" w:rsidRPr="00C3318C" w:rsidTr="00E34BCD">
        <w:trPr>
          <w:jc w:val="right"/>
        </w:trPr>
        <w:tc>
          <w:tcPr>
            <w:tcW w:w="77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461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7914B8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زيارة ميدانية و كتابة تقرير حول تنظيم البيئة الصفية و طرق إدارة الصف </w:t>
            </w:r>
          </w:p>
        </w:tc>
        <w:tc>
          <w:tcPr>
            <w:tcW w:w="1790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التسليم في تاريخ 22/2</w:t>
            </w:r>
          </w:p>
        </w:tc>
        <w:tc>
          <w:tcPr>
            <w:tcW w:w="2428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10%</w:t>
            </w:r>
          </w:p>
        </w:tc>
      </w:tr>
      <w:tr w:rsidR="006E4B5F" w:rsidRPr="00C3318C" w:rsidTr="00E34BCD">
        <w:trPr>
          <w:jc w:val="right"/>
        </w:trPr>
        <w:tc>
          <w:tcPr>
            <w:tcW w:w="77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461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العرض التقديمي</w:t>
            </w:r>
          </w:p>
        </w:tc>
        <w:tc>
          <w:tcPr>
            <w:tcW w:w="1790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يحدد لاحقا</w:t>
            </w:r>
          </w:p>
        </w:tc>
        <w:tc>
          <w:tcPr>
            <w:tcW w:w="2428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10%</w:t>
            </w:r>
          </w:p>
        </w:tc>
      </w:tr>
      <w:tr w:rsidR="006E4B5F" w:rsidRPr="00C3318C" w:rsidTr="00E34BCD">
        <w:trPr>
          <w:jc w:val="right"/>
        </w:trPr>
        <w:tc>
          <w:tcPr>
            <w:tcW w:w="77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461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الأنشطة</w:t>
            </w: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الصفية والمناقشات </w:t>
            </w:r>
          </w:p>
        </w:tc>
        <w:tc>
          <w:tcPr>
            <w:tcW w:w="1790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بشكل </w:t>
            </w:r>
            <w:r w:rsidRPr="00C3318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أسبوعي</w:t>
            </w:r>
          </w:p>
        </w:tc>
        <w:tc>
          <w:tcPr>
            <w:tcW w:w="2428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10%</w:t>
            </w:r>
          </w:p>
        </w:tc>
      </w:tr>
      <w:tr w:rsidR="006E4B5F" w:rsidRPr="00C3318C" w:rsidTr="00E34BCD">
        <w:trPr>
          <w:trHeight w:val="902"/>
          <w:jc w:val="right"/>
        </w:trPr>
        <w:tc>
          <w:tcPr>
            <w:tcW w:w="77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4616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790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يحدد لاحقا</w:t>
            </w:r>
          </w:p>
        </w:tc>
        <w:tc>
          <w:tcPr>
            <w:tcW w:w="2428" w:type="dxa"/>
          </w:tcPr>
          <w:p w:rsidR="006E4B5F" w:rsidRPr="00C3318C" w:rsidRDefault="006E4B5F" w:rsidP="00E34BCD">
            <w:pPr>
              <w:tabs>
                <w:tab w:val="left" w:pos="288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40%</w:t>
            </w:r>
          </w:p>
        </w:tc>
      </w:tr>
    </w:tbl>
    <w:p w:rsidR="006E4B5F" w:rsidRDefault="006E4B5F" w:rsidP="006E4B5F">
      <w:pPr>
        <w:ind w:left="566"/>
        <w:rPr>
          <w:rFonts w:hint="cs"/>
          <w:rtl/>
        </w:rPr>
      </w:pPr>
    </w:p>
    <w:tbl>
      <w:tblPr>
        <w:tblStyle w:val="a3"/>
        <w:tblpPr w:leftFromText="180" w:rightFromText="180" w:vertAnchor="page" w:horzAnchor="margin" w:tblpY="5727"/>
        <w:bidiVisual/>
        <w:tblW w:w="10129" w:type="dxa"/>
        <w:tblLook w:val="01E0"/>
      </w:tblPr>
      <w:tblGrid>
        <w:gridCol w:w="1980"/>
        <w:gridCol w:w="8149"/>
      </w:tblGrid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ملاحظات هامة للمحاضرات والاختبار الشهري</w:t>
            </w:r>
          </w:p>
        </w:tc>
        <w:tc>
          <w:tcPr>
            <w:tcW w:w="8149" w:type="dxa"/>
          </w:tcPr>
          <w:p w:rsidR="006E4B5F" w:rsidRDefault="006E4B5F" w:rsidP="00E34BCD">
            <w:pPr>
              <w:ind w:left="108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 بالأدب العام داخل القاعة الدراسية وتجنب استخدام أي وسيلة مشتتة عن الهدف الرئيس للمحاضرة.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يمنع استخدام الجوال خلال المحاضرة و سيتم الخصم من درجات المشاركة في حال 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استخدام </w:t>
            </w:r>
            <w:r w:rsidRPr="00C3318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ذلك. 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يجب تسليم متطلب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الزيارة الميدانية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ورقيا والكترونيا في الوقت المحدد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وفي حال التأخير سيتم حسم درجتين عن كل يوم تأخير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proofErr w:type="spellEnd"/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يسمح للطالبة التغيب عن موعد الاختبار الشهري تحت عذر سوء الاحوال الجوية إلا في حالة إصدار الجامعة قرار يفيد بوجود إجازة رسمية.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لن يتم إعادة الاختبار لأي طالبة إلا في حالة حدوث </w:t>
            </w:r>
            <w:r w:rsidRPr="007914B8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مصادفة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لظروف ولادة الطالبة أو حدوث حالة 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وفاة،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مع تسليم تقرير معتمد من </w:t>
            </w:r>
            <w:r w:rsidRPr="007914B8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شؤون الطالبات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يفيد بأحقية إعادة الاختبار للطالبة.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 حالة غياب الطالبة بدون عذر (من الأعذار المحددة سابقا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سيتم رصد الدرجة صفر من ثلاثين الدرجة المحددة للاختبار الشهري.</w:t>
            </w:r>
          </w:p>
          <w:p w:rsidR="006E4B5F" w:rsidRPr="007914B8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موعد الاختبار سيكون بمشيئة الله بتاريخ 2/1/</w:t>
            </w:r>
            <w:proofErr w:type="spellStart"/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1435هـ</w:t>
            </w:r>
            <w:proofErr w:type="spellEnd"/>
          </w:p>
          <w:p w:rsidR="006E4B5F" w:rsidRPr="00C3318C" w:rsidRDefault="006E4B5F" w:rsidP="00E34BC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ملاحظات خاصة بالعرض التقديمي </w:t>
            </w:r>
          </w:p>
        </w:tc>
        <w:tc>
          <w:tcPr>
            <w:tcW w:w="8149" w:type="dxa"/>
          </w:tcPr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يجب الالتزام بموضوع العرض ولا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يسمح بتغيره بعد الاتفاق مع الاستاذة أثناء المحاضرة.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يجب الالتزام بالموعد 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المحدد للعرض ولا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يسمح بالتبديل بين المجموعات سواء الموضوع او التبديل بين الطالبات.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لابد أن 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تضمن</w:t>
            </w: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العرض التقديمي عرض فيديو مرتبط بموضوع المحاضرة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ind w:right="601"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</w:rPr>
            </w:pPr>
            <w:r w:rsidRPr="00C3318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لابد أن يشمل العرض مجموعة من المعايير: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شمولية العرض لجميع الموضوعات المتعلقة بالموضوع الرئيس.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تمكن الطالبة من المادة المشروحة.</w:t>
            </w:r>
          </w:p>
          <w:p w:rsidR="006E4B5F" w:rsidRPr="00C3318C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مدى تسلسل الافكار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بالشكل الصحيح</w:t>
            </w:r>
          </w:p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3318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جاذبية العرض وترتيبه.</w:t>
            </w:r>
          </w:p>
          <w:p w:rsidR="006E4B5F" w:rsidRPr="00B51BB1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ارتباط الفيديو بالموضوع مع التعليق عليه.</w:t>
            </w:r>
          </w:p>
        </w:tc>
      </w:tr>
      <w:tr w:rsidR="006E4B5F" w:rsidRPr="00C3318C" w:rsidTr="00E34BCD">
        <w:tc>
          <w:tcPr>
            <w:tcW w:w="1980" w:type="dxa"/>
          </w:tcPr>
          <w:p w:rsidR="006E4B5F" w:rsidRPr="00C3318C" w:rsidRDefault="006E4B5F" w:rsidP="00E34BCD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ملاحظات خاصة بتقرير الزيارة الميدانية</w:t>
            </w:r>
          </w:p>
        </w:tc>
        <w:tc>
          <w:tcPr>
            <w:tcW w:w="8149" w:type="dxa"/>
          </w:tcPr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كتابة تقرير متكامل  ويشمل:</w:t>
            </w:r>
          </w:p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بيانات المركز الاساسية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(الاسم-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تاريخ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التأسيس-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نوع المركز أو المدرسة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</w:p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شمولية التقرير على جميع المعايير الخاصة بكتابة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التقرير.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(مرفقة المعايير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).</w:t>
            </w:r>
            <w:proofErr w:type="spellEnd"/>
          </w:p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صياغة الافكار بطريقة جيدة مع مراعاة تسلسلها وترابطها.</w:t>
            </w:r>
          </w:p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خلو التقرير من الاخطاء الاملائية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ومراعاة علامات الترقيم</w:t>
            </w:r>
          </w:p>
          <w:p w:rsidR="006E4B5F" w:rsidRDefault="006E4B5F" w:rsidP="006E4B5F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تسليم كشف مختوم لحضورك من قبل المركز او المدرسة.</w:t>
            </w:r>
          </w:p>
          <w:p w:rsidR="006E4B5F" w:rsidRPr="00C3318C" w:rsidRDefault="006E4B5F" w:rsidP="00E34BCD">
            <w:pPr>
              <w:ind w:left="108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6E4B5F" w:rsidRPr="006E4B5F" w:rsidRDefault="006E4B5F" w:rsidP="006E4B5F">
      <w:pPr>
        <w:ind w:left="566"/>
        <w:rPr>
          <w:rFonts w:hint="cs"/>
          <w:rtl/>
        </w:rPr>
      </w:pPr>
    </w:p>
    <w:p w:rsidR="006E4B5F" w:rsidRPr="00E31FC2" w:rsidRDefault="006E4B5F" w:rsidP="006E4B5F">
      <w:pPr>
        <w:spacing w:before="120" w:after="120"/>
        <w:jc w:val="right"/>
        <w:rPr>
          <w:b/>
          <w:bCs/>
          <w:rtl/>
          <w:lang w:bidi="ar-LY"/>
        </w:rPr>
      </w:pPr>
      <w:r w:rsidRPr="00E31FC2">
        <w:rPr>
          <w:b/>
          <w:bCs/>
          <w:rtl/>
          <w:lang w:bidi="ar-LY"/>
        </w:rPr>
        <w:t>دعواتي لكم بالتوفيق و النجاح</w:t>
      </w:r>
    </w:p>
    <w:p w:rsidR="006E4B5F" w:rsidRPr="00E31FC2" w:rsidRDefault="006E4B5F" w:rsidP="006E4B5F">
      <w:pPr>
        <w:ind w:left="720"/>
        <w:jc w:val="right"/>
        <w:rPr>
          <w:b/>
          <w:bCs/>
          <w:rtl/>
        </w:rPr>
      </w:pPr>
      <w:r w:rsidRPr="00E31FC2">
        <w:rPr>
          <w:b/>
          <w:bCs/>
          <w:rtl/>
        </w:rPr>
        <w:t xml:space="preserve">(حُسن الأخلاق يذيب الخطايا </w:t>
      </w:r>
      <w:proofErr w:type="spellStart"/>
      <w:r w:rsidRPr="00E31FC2">
        <w:rPr>
          <w:b/>
          <w:bCs/>
          <w:rtl/>
        </w:rPr>
        <w:t>.</w:t>
      </w:r>
      <w:proofErr w:type="spellEnd"/>
      <w:r w:rsidRPr="00E31FC2">
        <w:rPr>
          <w:b/>
          <w:bCs/>
          <w:rtl/>
        </w:rPr>
        <w:t xml:space="preserve"> </w:t>
      </w:r>
      <w:proofErr w:type="spellStart"/>
      <w:r w:rsidRPr="00E31FC2">
        <w:rPr>
          <w:b/>
          <w:bCs/>
          <w:rtl/>
        </w:rPr>
        <w:t>.</w:t>
      </w:r>
      <w:proofErr w:type="spellEnd"/>
      <w:r w:rsidRPr="00E31FC2">
        <w:rPr>
          <w:b/>
          <w:bCs/>
          <w:rtl/>
        </w:rPr>
        <w:t xml:space="preserve"> كما تذيب الشمس الجليد</w:t>
      </w:r>
      <w:r w:rsidRPr="00E31FC2">
        <w:rPr>
          <w:b/>
          <w:bCs/>
        </w:rPr>
        <w:t>(</w:t>
      </w:r>
    </w:p>
    <w:p w:rsidR="006E4B5F" w:rsidRPr="007D7509" w:rsidRDefault="006E4B5F" w:rsidP="006E4B5F">
      <w:pPr>
        <w:spacing w:before="120" w:after="120"/>
        <w:jc w:val="right"/>
        <w:rPr>
          <w:b/>
          <w:bCs/>
          <w:lang w:bidi="ar-LY"/>
        </w:rPr>
      </w:pPr>
      <w:proofErr w:type="spellStart"/>
      <w:r>
        <w:rPr>
          <w:rFonts w:hint="cs"/>
          <w:b/>
          <w:bCs/>
          <w:rtl/>
          <w:lang w:bidi="ar-LY"/>
        </w:rPr>
        <w:t>أ/</w:t>
      </w:r>
      <w:proofErr w:type="spellEnd"/>
      <w:r>
        <w:rPr>
          <w:rFonts w:hint="cs"/>
          <w:b/>
          <w:bCs/>
          <w:rtl/>
          <w:lang w:bidi="ar-LY"/>
        </w:rPr>
        <w:t xml:space="preserve"> منيرة الماجد</w:t>
      </w:r>
    </w:p>
    <w:p w:rsidR="006E4B5F" w:rsidRDefault="006E4B5F" w:rsidP="006E4B5F">
      <w:pPr>
        <w:ind w:left="566"/>
      </w:pPr>
    </w:p>
    <w:sectPr w:rsidR="006E4B5F" w:rsidSect="006E4B5F">
      <w:pgSz w:w="11906" w:h="16838"/>
      <w:pgMar w:top="851" w:right="1983" w:bottom="709" w:left="993" w:header="425" w:footer="45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C0245F"/>
    <w:multiLevelType w:val="hybridMultilevel"/>
    <w:tmpl w:val="676E676C"/>
    <w:lvl w:ilvl="0" w:tplc="1C5E9A2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0C02EE"/>
    <w:multiLevelType w:val="hybridMultilevel"/>
    <w:tmpl w:val="D0D2C2C4"/>
    <w:lvl w:ilvl="0" w:tplc="E1484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C46836"/>
    <w:multiLevelType w:val="hybridMultilevel"/>
    <w:tmpl w:val="BE065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E4B5F"/>
    <w:rsid w:val="00177FE9"/>
    <w:rsid w:val="004328ED"/>
    <w:rsid w:val="005570FD"/>
    <w:rsid w:val="00565335"/>
    <w:rsid w:val="006E4B5F"/>
    <w:rsid w:val="008C33D7"/>
    <w:rsid w:val="009A0579"/>
    <w:rsid w:val="00B53655"/>
    <w:rsid w:val="00BA6FB7"/>
    <w:rsid w:val="00D1656D"/>
    <w:rsid w:val="00E40B87"/>
    <w:rsid w:val="00F90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B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E4B5F"/>
    <w:rPr>
      <w:color w:val="0000FF" w:themeColor="hyperlink"/>
      <w:u w:val="single"/>
    </w:rPr>
  </w:style>
  <w:style w:type="table" w:styleId="a3">
    <w:name w:val="Table Grid"/>
    <w:basedOn w:val="a1"/>
    <w:rsid w:val="006E4B5F"/>
    <w:pPr>
      <w:bidi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malmaged/home" TargetMode="External"/><Relationship Id="rId5" Type="http://schemas.openxmlformats.org/officeDocument/2006/relationships/hyperlink" Target="mailto:munalmajed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770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2014-09-13T10:23:00Z</dcterms:created>
  <dcterms:modified xsi:type="dcterms:W3CDTF">2014-09-13T10:26:00Z</dcterms:modified>
</cp:coreProperties>
</file>