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89" w:rsidRDefault="00460D89" w:rsidP="00460D89">
      <w:pPr>
        <w:bidi/>
        <w:spacing w:before="150" w:after="90" w:line="320" w:lineRule="atLeast"/>
        <w:rPr>
          <w:rFonts w:ascii="Arial" w:hAnsi="Arial" w:cs="Traditional Arabic"/>
          <w:color w:val="262626"/>
          <w:sz w:val="36"/>
          <w:szCs w:val="36"/>
        </w:rPr>
      </w:pPr>
      <w:r>
        <w:rPr>
          <w:rFonts w:ascii="aga sindibad regular" w:hAnsi="aga sindibad regular" w:cs="Traditional Arabic"/>
          <w:color w:val="000000"/>
          <w:sz w:val="36"/>
          <w:szCs w:val="36"/>
          <w:rtl/>
        </w:rPr>
        <w:t>المملكة العربية السعودية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Traditional Arabic"/>
          <w:color w:val="262626"/>
          <w:sz w:val="36"/>
          <w:szCs w:val="36"/>
        </w:rPr>
      </w:pPr>
      <w:r>
        <w:rPr>
          <w:rFonts w:ascii="aga sindibad regular" w:hAnsi="aga sindibad regular" w:cs="Traditional Arabic"/>
          <w:color w:val="000000"/>
          <w:sz w:val="36"/>
          <w:szCs w:val="36"/>
          <w:rtl/>
        </w:rPr>
        <w:t>  المجلس الأعلى للتعليم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Traditional Arabic"/>
          <w:color w:val="262626"/>
          <w:sz w:val="36"/>
          <w:szCs w:val="36"/>
          <w:rtl/>
        </w:rPr>
      </w:pPr>
      <w:r>
        <w:rPr>
          <w:rFonts w:ascii="aga sindibad regular" w:hAnsi="aga sindibad regular" w:cs="Traditional Arabic"/>
          <w:color w:val="000000"/>
          <w:sz w:val="36"/>
          <w:szCs w:val="36"/>
          <w:rtl/>
        </w:rPr>
        <w:t>   جامعة الملك سعود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Traditional Arabic"/>
          <w:color w:val="262626"/>
          <w:sz w:val="36"/>
          <w:szCs w:val="36"/>
          <w:rtl/>
        </w:rPr>
      </w:pPr>
      <w:r>
        <w:rPr>
          <w:rFonts w:ascii="aga sindibad regular" w:hAnsi="aga sindibad regular" w:cs="Traditional Arabic"/>
          <w:color w:val="000000"/>
          <w:sz w:val="36"/>
          <w:szCs w:val="36"/>
          <w:rtl/>
        </w:rPr>
        <w:t>        كلية الآداب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Traditional Arabic"/>
          <w:color w:val="262626"/>
          <w:sz w:val="36"/>
          <w:szCs w:val="36"/>
          <w:rtl/>
        </w:rPr>
      </w:pPr>
      <w:r>
        <w:rPr>
          <w:rFonts w:ascii="aga sindibad regular" w:hAnsi="aga sindibad regular" w:cs="Traditional Arabic"/>
          <w:color w:val="000000"/>
          <w:sz w:val="36"/>
          <w:szCs w:val="36"/>
          <w:rtl/>
        </w:rPr>
        <w:t xml:space="preserve">قسـم اللغة العربية وآدابها 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color w:val="262626"/>
          <w:sz w:val="20"/>
          <w:szCs w:val="20"/>
          <w:rtl/>
        </w:rPr>
      </w:pPr>
      <w:r>
        <w:rPr>
          <w:rFonts w:ascii="Arial" w:hAnsi="Arial" w:cs="Arial"/>
          <w:color w:val="262626"/>
          <w:sz w:val="20"/>
          <w:szCs w:val="20"/>
          <w:rtl/>
        </w:rPr>
        <w:t> 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b/>
          <w:bCs/>
          <w:color w:val="262626"/>
          <w:sz w:val="20"/>
          <w:szCs w:val="20"/>
          <w:rtl/>
        </w:rPr>
      </w:pPr>
      <w:r>
        <w:rPr>
          <w:rFonts w:ascii="aga sindibad regular" w:hAnsi="aga sindibad regular" w:cs="Arial"/>
          <w:b/>
          <w:bCs/>
          <w:color w:val="000000"/>
          <w:rtl/>
        </w:rPr>
        <w:t xml:space="preserve">اسم المقرر ورمزه: </w:t>
      </w:r>
      <w:r>
        <w:rPr>
          <w:rFonts w:ascii="aga sindibad regular" w:hAnsi="aga sindibad regular" w:cs="Arial" w:hint="cs"/>
          <w:b/>
          <w:bCs/>
          <w:color w:val="000000"/>
          <w:rtl/>
        </w:rPr>
        <w:t>نظرية الإيقاع    عرب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b/>
          <w:bCs/>
          <w:color w:val="262626"/>
          <w:sz w:val="20"/>
          <w:szCs w:val="20"/>
          <w:rtl/>
        </w:rPr>
      </w:pPr>
      <w:r>
        <w:rPr>
          <w:rFonts w:ascii="aga sindibad regular" w:hAnsi="aga sindibad regular" w:cs="Arial"/>
          <w:b/>
          <w:bCs/>
          <w:color w:val="000000"/>
          <w:rtl/>
        </w:rPr>
        <w:t>أستاذ المقرر:  د. صالح الزهراني.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b/>
          <w:bCs/>
          <w:color w:val="262626"/>
          <w:sz w:val="20"/>
          <w:szCs w:val="20"/>
          <w:rtl/>
        </w:rPr>
      </w:pPr>
      <w:r>
        <w:rPr>
          <w:rFonts w:ascii="aga sindibad regular" w:hAnsi="aga sindibad regular" w:cs="Arial"/>
          <w:b/>
          <w:bCs/>
          <w:color w:val="000000"/>
          <w:rtl/>
        </w:rPr>
        <w:t xml:space="preserve">الساعات المعتمدة: ساعتان. 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color w:val="262626"/>
          <w:sz w:val="20"/>
          <w:szCs w:val="20"/>
          <w:rtl/>
        </w:rPr>
      </w:pPr>
      <w:r>
        <w:rPr>
          <w:rFonts w:ascii="aga sindibad regular" w:hAnsi="aga sindibad regular" w:cs="Arial"/>
          <w:b/>
          <w:bCs/>
          <w:color w:val="000000"/>
          <w:rtl/>
        </w:rPr>
        <w:t>المستوى أو السنة: ماجستير مواز</w:t>
      </w:r>
      <w:r>
        <w:rPr>
          <w:rFonts w:ascii="aga sindibad regular" w:hAnsi="aga sindibad regular" w:cs="Arial"/>
          <w:color w:val="000000"/>
          <w:rtl/>
        </w:rPr>
        <w:t>.</w:t>
      </w:r>
    </w:p>
    <w:p w:rsidR="00460D89" w:rsidRDefault="00460D89" w:rsidP="00460D89">
      <w:pPr>
        <w:bidi/>
        <w:spacing w:before="150" w:after="90" w:line="320" w:lineRule="atLeast"/>
        <w:rPr>
          <w:rFonts w:ascii="aga sindibad regular" w:hAnsi="aga sindibad regular" w:cs="Arial"/>
          <w:color w:val="000000"/>
          <w:sz w:val="24"/>
          <w:szCs w:val="24"/>
          <w:rtl/>
        </w:rPr>
      </w:pPr>
      <w:r>
        <w:rPr>
          <w:rFonts w:ascii="aga sindibad regular" w:hAnsi="aga sindibad regular" w:cs="Arial"/>
          <w:color w:val="000000"/>
          <w:rtl/>
        </w:rPr>
        <w:t xml:space="preserve">  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color w:val="262626"/>
          <w:sz w:val="20"/>
          <w:szCs w:val="20"/>
          <w:rtl/>
        </w:rPr>
      </w:pPr>
      <w:r>
        <w:rPr>
          <w:rFonts w:ascii="hesham cortoba" w:hAnsi="hesham cortoba" w:cs="Arial"/>
          <w:color w:val="000000"/>
          <w:sz w:val="28"/>
          <w:szCs w:val="28"/>
          <w:rtl/>
        </w:rPr>
        <w:t>الأهداف :</w:t>
      </w:r>
    </w:p>
    <w:p w:rsidR="00460D89" w:rsidRDefault="00460D89" w:rsidP="00460D89">
      <w:pPr>
        <w:bidi/>
        <w:spacing w:before="150" w:after="90" w:line="320" w:lineRule="atLeast"/>
        <w:ind w:left="643" w:hanging="360"/>
        <w:jc w:val="both"/>
        <w:rPr>
          <w:rFonts w:ascii="Arial" w:hAnsi="Arial" w:cs="Arial"/>
          <w:color w:val="262626"/>
          <w:sz w:val="20"/>
          <w:szCs w:val="20"/>
          <w:rtl/>
        </w:rPr>
      </w:pPr>
      <w:r>
        <w:rPr>
          <w:rFonts w:ascii="Traditional Arabic" w:hAnsi="Traditional Arabic" w:cs="Traditional Arabic"/>
          <w:color w:val="262626"/>
          <w:sz w:val="28"/>
          <w:szCs w:val="28"/>
          <w:rtl/>
        </w:rPr>
        <w:t xml:space="preserve">التعريف </w:t>
      </w:r>
      <w:r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بمفهوم الإيقاع في الشعر عموما</w:t>
      </w:r>
      <w:r>
        <w:rPr>
          <w:rFonts w:ascii="Traditional Arabic" w:hAnsi="Traditional Arabic" w:cs="Traditional Arabic"/>
          <w:color w:val="262626"/>
          <w:sz w:val="28"/>
          <w:szCs w:val="28"/>
          <w:rtl/>
        </w:rPr>
        <w:t>.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color w:val="262626"/>
          <w:sz w:val="20"/>
          <w:szCs w:val="20"/>
          <w:rtl/>
        </w:rPr>
      </w:pPr>
      <w:r>
        <w:rPr>
          <w:rFonts w:ascii="Traditional Arabic" w:hAnsi="Traditional Arabic" w:cs="Traditional Arabic"/>
          <w:color w:val="262626"/>
          <w:sz w:val="28"/>
          <w:szCs w:val="28"/>
          <w:rtl/>
        </w:rPr>
        <w:t xml:space="preserve">    </w:t>
      </w:r>
      <w:r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الوقوف على أهم النقاشات حول العروض العربي وعلاقته بالإيقاع</w:t>
      </w:r>
      <w:r>
        <w:rPr>
          <w:rFonts w:ascii="Traditional Arabic" w:hAnsi="Traditional Arabic" w:cs="Traditional Arabic"/>
          <w:color w:val="262626"/>
          <w:sz w:val="28"/>
          <w:szCs w:val="28"/>
          <w:rtl/>
        </w:rPr>
        <w:t>.</w:t>
      </w:r>
    </w:p>
    <w:p w:rsidR="00460D89" w:rsidRDefault="00460D89" w:rsidP="00460D89">
      <w:pPr>
        <w:bidi/>
        <w:spacing w:before="150" w:after="90" w:line="320" w:lineRule="atLeast"/>
        <w:rPr>
          <w:rFonts w:ascii="Arial" w:hAnsi="Arial" w:cs="Arial"/>
          <w:color w:val="262626"/>
          <w:sz w:val="20"/>
          <w:szCs w:val="20"/>
          <w:rtl/>
        </w:rPr>
      </w:pPr>
      <w:r>
        <w:rPr>
          <w:rFonts w:ascii="Traditional Arabic" w:hAnsi="Traditional Arabic" w:cs="Traditional Arabic"/>
          <w:color w:val="262626"/>
          <w:sz w:val="28"/>
          <w:szCs w:val="28"/>
          <w:rtl/>
        </w:rPr>
        <w:t>وصف المقرر:</w:t>
      </w:r>
    </w:p>
    <w:p w:rsidR="00460D89" w:rsidRDefault="00460D89" w:rsidP="00460D89">
      <w:pPr>
        <w:bidi/>
        <w:spacing w:before="150" w:after="90" w:line="320" w:lineRule="atLeas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>
        <w:rPr>
          <w:rFonts w:ascii="Traditional Arabic" w:hAnsi="Traditional Arabic" w:cs="Traditional Arabic"/>
          <w:color w:val="262626"/>
          <w:sz w:val="28"/>
          <w:szCs w:val="28"/>
          <w:rtl/>
        </w:rPr>
        <w:t xml:space="preserve">  </w:t>
      </w:r>
    </w:p>
    <w:tbl>
      <w:tblPr>
        <w:bidiVisual/>
        <w:tblW w:w="8295" w:type="dxa"/>
        <w:tblCellMar>
          <w:left w:w="0" w:type="dxa"/>
          <w:right w:w="0" w:type="dxa"/>
        </w:tblCellMar>
        <w:tblLook w:val="04A0"/>
      </w:tblPr>
      <w:tblGrid>
        <w:gridCol w:w="6450"/>
        <w:gridCol w:w="853"/>
        <w:gridCol w:w="992"/>
      </w:tblGrid>
      <w:tr w:rsidR="00460D89" w:rsidTr="00B71FBB">
        <w:tc>
          <w:tcPr>
            <w:tcW w:w="6450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>
            <w:pPr>
              <w:spacing w:before="150" w:after="90" w:line="320" w:lineRule="atLeast"/>
              <w:jc w:val="righ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sc_dubai" w:hAnsi="sc_dubai" w:cs="Arial"/>
                <w:color w:val="262626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>
            <w:pPr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sc_dubai" w:hAnsi="sc_dubai" w:cs="Arial"/>
                <w:color w:val="262626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left w:val="nil"/>
              <w:bottom w:val="single" w:sz="8" w:space="0" w:color="C0504D"/>
              <w:right w:val="single" w:sz="8" w:space="0" w:color="C0504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>
            <w:pPr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sc_dubai" w:hAnsi="sc_dubai" w:cs="Arial"/>
                <w:color w:val="262626"/>
                <w:sz w:val="26"/>
                <w:szCs w:val="26"/>
                <w:rtl/>
              </w:rPr>
              <w:t>ساعات الاتصال</w:t>
            </w:r>
          </w:p>
        </w:tc>
      </w:tr>
      <w:tr w:rsidR="00460D89" w:rsidTr="00B71FBB">
        <w:tc>
          <w:tcPr>
            <w:tcW w:w="6450" w:type="dxa"/>
            <w:tcBorders>
              <w:top w:val="nil"/>
              <w:left w:val="single" w:sz="12" w:space="0" w:color="943634"/>
              <w:bottom w:val="single" w:sz="8" w:space="0" w:color="943634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 xml:space="preserve">1-مدخل عام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43634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2</w:t>
            </w:r>
          </w:p>
        </w:tc>
      </w:tr>
      <w:tr w:rsidR="00460D89" w:rsidTr="00B71FBB">
        <w:tc>
          <w:tcPr>
            <w:tcW w:w="6450" w:type="dxa"/>
            <w:tcBorders>
              <w:top w:val="nil"/>
              <w:left w:val="single" w:sz="12" w:space="0" w:color="943634"/>
              <w:bottom w:val="nil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 w:rsidP="00C725EA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2-</w:t>
            </w:r>
            <w:r w:rsidR="00C725EA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 xml:space="preserve">الإيقاع في الفلسفة والفن </w:t>
            </w:r>
          </w:p>
        </w:tc>
        <w:tc>
          <w:tcPr>
            <w:tcW w:w="853" w:type="dxa"/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2</w:t>
            </w:r>
          </w:p>
        </w:tc>
      </w:tr>
      <w:tr w:rsidR="00460D89" w:rsidTr="00B71FBB">
        <w:tc>
          <w:tcPr>
            <w:tcW w:w="6450" w:type="dxa"/>
            <w:tcBorders>
              <w:top w:val="single" w:sz="8" w:space="0" w:color="C0504D"/>
              <w:left w:val="single" w:sz="12" w:space="0" w:color="943634"/>
              <w:bottom w:val="single" w:sz="8" w:space="0" w:color="943634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 w:rsidP="00C725EA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 xml:space="preserve">3- </w:t>
            </w:r>
            <w:r w:rsidR="00C725EA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مفهوم الإيقاع في التراث العربي: في الموسيقى والعروض</w:t>
            </w:r>
          </w:p>
        </w:tc>
        <w:tc>
          <w:tcPr>
            <w:tcW w:w="853" w:type="dxa"/>
            <w:tcBorders>
              <w:top w:val="single" w:sz="8" w:space="0" w:color="C0504D"/>
              <w:left w:val="nil"/>
              <w:bottom w:val="single" w:sz="8" w:space="0" w:color="943634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left w:val="nil"/>
              <w:bottom w:val="single" w:sz="8" w:space="0" w:color="943634"/>
              <w:right w:val="single" w:sz="8" w:space="0" w:color="C0504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2</w:t>
            </w:r>
          </w:p>
        </w:tc>
      </w:tr>
      <w:tr w:rsidR="00460D89" w:rsidTr="00B71FBB">
        <w:tc>
          <w:tcPr>
            <w:tcW w:w="6450" w:type="dxa"/>
            <w:tcBorders>
              <w:top w:val="nil"/>
              <w:left w:val="single" w:sz="12" w:space="0" w:color="943634"/>
              <w:bottom w:val="single" w:sz="8" w:space="0" w:color="943634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 w:rsidP="00C725EA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4-</w:t>
            </w:r>
            <w:r w:rsidR="00C725EA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نظرية الإيقاع في الشعر لدى الغرب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943634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43634"/>
              <w:right w:val="single" w:sz="8" w:space="0" w:color="C0504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460D89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 xml:space="preserve">      2  </w:t>
            </w:r>
          </w:p>
        </w:tc>
      </w:tr>
      <w:tr w:rsidR="00460D89" w:rsidTr="00B71FBB">
        <w:tc>
          <w:tcPr>
            <w:tcW w:w="6450" w:type="dxa"/>
            <w:tcBorders>
              <w:top w:val="nil"/>
              <w:left w:val="single" w:sz="12" w:space="0" w:color="943634"/>
              <w:bottom w:val="single" w:sz="8" w:space="0" w:color="943634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D89" w:rsidRDefault="00460D89" w:rsidP="00C725EA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lastRenderedPageBreak/>
              <w:t xml:space="preserve">5- </w:t>
            </w:r>
            <w:r w:rsidR="00C725EA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إيقاع الشعر العربي  بين المستشرقين والعرب</w:t>
            </w: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B71FBB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43634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D89" w:rsidRDefault="00B71FBB">
            <w:pPr>
              <w:bidi/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6</w:t>
            </w:r>
          </w:p>
        </w:tc>
      </w:tr>
      <w:tr w:rsidR="00B71FBB" w:rsidTr="00B71FBB">
        <w:tc>
          <w:tcPr>
            <w:tcW w:w="6450" w:type="dxa"/>
            <w:tcBorders>
              <w:top w:val="nil"/>
              <w:left w:val="single" w:sz="12" w:space="0" w:color="943634"/>
              <w:bottom w:val="single" w:sz="8" w:space="0" w:color="943634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FBB" w:rsidRDefault="00B71FBB" w:rsidP="00F51634">
            <w:pPr>
              <w:bidi/>
              <w:spacing w:before="150" w:after="90" w:line="320" w:lineRule="atLeast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6-</w:t>
            </w: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مباحث في الإيقاع: الإيقاع والذات</w:t>
            </w:r>
            <w:r w:rsidR="00F51634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، الإيقاع المقارن، الإيقاع المعنوي، إيقاع الصورة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943634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1FBB" w:rsidRPr="00F51634" w:rsidRDefault="00F51634" w:rsidP="00466830">
            <w:pPr>
              <w:bidi/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 w:rsidRPr="00F51634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43634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1FBB" w:rsidRPr="00F51634" w:rsidRDefault="00F51634" w:rsidP="00466830">
            <w:pPr>
              <w:bidi/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 w:rsidRPr="00F51634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8</w:t>
            </w:r>
          </w:p>
        </w:tc>
      </w:tr>
      <w:tr w:rsidR="00C50CE8" w:rsidTr="00B71FBB">
        <w:tc>
          <w:tcPr>
            <w:tcW w:w="6450" w:type="dxa"/>
            <w:tcBorders>
              <w:top w:val="double" w:sz="6" w:space="0" w:color="C0504D"/>
              <w:left w:val="single" w:sz="8" w:space="0" w:color="C0504D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CE8" w:rsidRDefault="00C50CE8">
            <w:pPr>
              <w:spacing w:before="150" w:after="90" w:line="320" w:lineRule="atLeast"/>
              <w:jc w:val="right"/>
              <w:rPr>
                <w:rFonts w:ascii="Arial" w:hAnsi="Arial" w:cs="Arial"/>
                <w:color w:val="262626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double" w:sz="6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Default="00C50CE8">
            <w:pPr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C0504D"/>
              <w:left w:val="nil"/>
              <w:bottom w:val="single" w:sz="8" w:space="0" w:color="C0504D"/>
              <w:right w:val="single" w:sz="8" w:space="0" w:color="C0504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Default="00C50CE8">
            <w:pPr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</w:p>
        </w:tc>
      </w:tr>
      <w:tr w:rsidR="00C50CE8" w:rsidTr="00B71FBB">
        <w:tc>
          <w:tcPr>
            <w:tcW w:w="6450" w:type="dxa"/>
            <w:tcBorders>
              <w:top w:val="double" w:sz="6" w:space="0" w:color="C0504D"/>
              <w:left w:val="single" w:sz="8" w:space="0" w:color="C0504D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CE8" w:rsidRPr="00C50CE8" w:rsidRDefault="00F51634" w:rsidP="00B71FBB">
            <w:pPr>
              <w:spacing w:before="150" w:after="90" w:line="320" w:lineRule="atLeast"/>
              <w:jc w:val="right"/>
              <w:rPr>
                <w:rFonts w:ascii="sc_dubai" w:hAnsi="sc_dubai" w:cs="Arial"/>
                <w:color w:val="262626"/>
                <w:sz w:val="28"/>
                <w:szCs w:val="28"/>
              </w:rPr>
            </w:pPr>
            <w:r>
              <w:rPr>
                <w:rFonts w:ascii="sc_dubai" w:hAnsi="sc_dubai" w:cs="Arial" w:hint="cs"/>
                <w:color w:val="262626"/>
                <w:sz w:val="28"/>
                <w:szCs w:val="28"/>
                <w:rtl/>
              </w:rPr>
              <w:t>7</w:t>
            </w:r>
            <w:r w:rsidR="00C50CE8" w:rsidRPr="00C50CE8">
              <w:rPr>
                <w:rFonts w:ascii="sc_dubai" w:hAnsi="sc_dubai" w:cs="Arial" w:hint="cs"/>
                <w:color w:val="262626"/>
                <w:sz w:val="28"/>
                <w:szCs w:val="28"/>
                <w:rtl/>
              </w:rPr>
              <w:t>-</w:t>
            </w:r>
            <w:r w:rsidR="00C50CE8" w:rsidRPr="00C50CE8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دراسات عربية في الإيقاع: عرض ونقد</w:t>
            </w:r>
          </w:p>
        </w:tc>
        <w:tc>
          <w:tcPr>
            <w:tcW w:w="853" w:type="dxa"/>
            <w:tcBorders>
              <w:top w:val="double" w:sz="6" w:space="0" w:color="C0504D"/>
              <w:left w:val="nil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Pr="00B71FBB" w:rsidRDefault="00C50CE8" w:rsidP="00B71FBB">
            <w:pPr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double" w:sz="6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Pr="00B71FBB" w:rsidRDefault="00C50CE8" w:rsidP="00B71FBB">
            <w:pPr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2</w:t>
            </w:r>
          </w:p>
        </w:tc>
      </w:tr>
      <w:tr w:rsidR="00C50CE8" w:rsidTr="00C50CE8">
        <w:tc>
          <w:tcPr>
            <w:tcW w:w="6450" w:type="dxa"/>
            <w:tcBorders>
              <w:top w:val="double" w:sz="6" w:space="0" w:color="C0504D"/>
              <w:left w:val="single" w:sz="8" w:space="0" w:color="C0504D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CE8" w:rsidRPr="00C50CE8" w:rsidRDefault="00F51634" w:rsidP="00C50CE8">
            <w:pPr>
              <w:spacing w:before="150" w:after="90" w:line="320" w:lineRule="atLeast"/>
              <w:jc w:val="right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8</w:t>
            </w:r>
            <w:r w:rsidR="00C50CE8" w:rsidRPr="00C50CE8"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-تطبيقات</w:t>
            </w:r>
            <w:r w:rsidR="00C50CE8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 xml:space="preserve"> ومشاركات عامة</w:t>
            </w:r>
          </w:p>
        </w:tc>
        <w:tc>
          <w:tcPr>
            <w:tcW w:w="853" w:type="dxa"/>
            <w:tcBorders>
              <w:top w:val="double" w:sz="6" w:space="0" w:color="C0504D"/>
              <w:left w:val="nil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Pr="00C50CE8" w:rsidRDefault="00823957" w:rsidP="00C50CE8">
            <w:pPr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double" w:sz="6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Pr="00C50CE8" w:rsidRDefault="00823957" w:rsidP="00C50CE8">
            <w:pPr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4</w:t>
            </w:r>
          </w:p>
        </w:tc>
      </w:tr>
      <w:tr w:rsidR="00C50CE8" w:rsidTr="00C50CE8">
        <w:tc>
          <w:tcPr>
            <w:tcW w:w="6450" w:type="dxa"/>
            <w:tcBorders>
              <w:top w:val="double" w:sz="6" w:space="0" w:color="C0504D"/>
              <w:left w:val="single" w:sz="8" w:space="0" w:color="C0504D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CE8" w:rsidRPr="00E03E93" w:rsidRDefault="00C50CE8" w:rsidP="00C50CE8">
            <w:pPr>
              <w:spacing w:before="150" w:after="90" w:line="320" w:lineRule="atLeast"/>
              <w:jc w:val="right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 w:rsidRPr="00E03E93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الامتحان الأول: الأسبوع السابع</w:t>
            </w:r>
            <w:r w:rsidRPr="00E03E93"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 xml:space="preserve">                               </w:t>
            </w:r>
            <w:r w:rsidR="00E03E93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 xml:space="preserve">             </w:t>
            </w:r>
            <w:r w:rsidRPr="00E03E93"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(25 درجة)</w:t>
            </w:r>
          </w:p>
        </w:tc>
        <w:tc>
          <w:tcPr>
            <w:tcW w:w="853" w:type="dxa"/>
            <w:tcBorders>
              <w:top w:val="double" w:sz="6" w:space="0" w:color="C0504D"/>
              <w:left w:val="nil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Pr="00C50CE8" w:rsidRDefault="00C50CE8" w:rsidP="00E03E93">
            <w:pPr>
              <w:spacing w:before="150" w:after="90" w:line="320" w:lineRule="atLeast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6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Pr="00C50CE8" w:rsidRDefault="00C50CE8" w:rsidP="00C50CE8">
            <w:pPr>
              <w:spacing w:before="150" w:after="90" w:line="320" w:lineRule="atLeast"/>
              <w:jc w:val="center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</w:p>
        </w:tc>
      </w:tr>
      <w:tr w:rsidR="00C50CE8" w:rsidTr="00C50CE8">
        <w:tc>
          <w:tcPr>
            <w:tcW w:w="6450" w:type="dxa"/>
            <w:tcBorders>
              <w:top w:val="double" w:sz="6" w:space="0" w:color="C0504D"/>
              <w:left w:val="single" w:sz="8" w:space="0" w:color="C0504D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CE8" w:rsidRPr="00E03E93" w:rsidRDefault="00C50CE8" w:rsidP="00466830">
            <w:pPr>
              <w:spacing w:before="150" w:after="90" w:line="320" w:lineRule="atLeast"/>
              <w:jc w:val="right"/>
              <w:rPr>
                <w:rFonts w:ascii="Traditional Arabic" w:hAnsi="Traditional Arabic" w:cs="Traditional Arabic"/>
                <w:color w:val="262626"/>
                <w:sz w:val="28"/>
                <w:szCs w:val="28"/>
              </w:rPr>
            </w:pPr>
            <w:r w:rsidRPr="00E03E93"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3" w:type="dxa"/>
            <w:tcBorders>
              <w:top w:val="double" w:sz="6" w:space="0" w:color="C0504D"/>
              <w:left w:val="nil"/>
              <w:bottom w:val="single" w:sz="8" w:space="0" w:color="C0504D"/>
              <w:right w:val="nil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Default="00C50CE8" w:rsidP="00E03E93">
            <w:pPr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/>
                <w:color w:val="262626"/>
                <w:sz w:val="28"/>
                <w:szCs w:val="28"/>
                <w:rtl/>
              </w:rPr>
              <w:t>1</w:t>
            </w:r>
            <w:r w:rsidR="00E03E93"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tcBorders>
              <w:top w:val="double" w:sz="6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FF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CE8" w:rsidRDefault="00E03E93" w:rsidP="00466830">
            <w:pPr>
              <w:spacing w:before="150" w:after="90" w:line="320" w:lineRule="atLeast"/>
              <w:jc w:val="center"/>
              <w:rPr>
                <w:rFonts w:ascii="Arial" w:hAnsi="Arial" w:cs="Arial"/>
                <w:color w:val="262626"/>
                <w:sz w:val="20"/>
                <w:szCs w:val="20"/>
              </w:rPr>
            </w:pPr>
            <w:r>
              <w:rPr>
                <w:rFonts w:ascii="Traditional Arabic" w:hAnsi="Traditional Arabic" w:cs="Traditional Arabic" w:hint="cs"/>
                <w:color w:val="262626"/>
                <w:sz w:val="28"/>
                <w:szCs w:val="28"/>
                <w:rtl/>
              </w:rPr>
              <w:t>30</w:t>
            </w:r>
          </w:p>
        </w:tc>
      </w:tr>
    </w:tbl>
    <w:p w:rsidR="00460D89" w:rsidRDefault="00460D89" w:rsidP="00460D89">
      <w:pPr>
        <w:bidi/>
        <w:rPr>
          <w:rFonts w:ascii="Times New Roman" w:hAnsi="Times New Roman" w:cs="Times New Roman"/>
          <w:sz w:val="24"/>
          <w:szCs w:val="24"/>
          <w:rtl/>
        </w:rPr>
      </w:pPr>
    </w:p>
    <w:p w:rsidR="00460D89" w:rsidRDefault="00460D89" w:rsidP="00F51634">
      <w:pPr>
        <w:bidi/>
        <w:rPr>
          <w:rtl/>
        </w:rPr>
      </w:pPr>
      <w:r>
        <w:rPr>
          <w:rFonts w:hint="cs"/>
          <w:rtl/>
        </w:rPr>
        <w:t>.</w:t>
      </w:r>
    </w:p>
    <w:p w:rsidR="00460D89" w:rsidRPr="00F51634" w:rsidRDefault="00460D89" w:rsidP="00460D89">
      <w:pPr>
        <w:bidi/>
        <w:spacing w:before="150" w:after="90" w:line="320" w:lineRule="atLeast"/>
        <w:rPr>
          <w:rFonts w:ascii="Traditional Arabic" w:hAnsi="Traditional Arabic" w:cs="Traditional Arabic"/>
          <w:b/>
          <w:bCs/>
          <w:color w:val="262626"/>
          <w:sz w:val="32"/>
          <w:szCs w:val="32"/>
          <w:rtl/>
        </w:rPr>
      </w:pPr>
      <w:r w:rsidRPr="00F51634">
        <w:rPr>
          <w:rFonts w:ascii="Traditional Arabic" w:hAnsi="Traditional Arabic" w:cs="Traditional Arabic"/>
          <w:b/>
          <w:bCs/>
          <w:color w:val="262626"/>
          <w:sz w:val="32"/>
          <w:szCs w:val="32"/>
          <w:rtl/>
        </w:rPr>
        <w:t>بعض مراجع المادة:</w:t>
      </w:r>
    </w:p>
    <w:p w:rsidR="006E5BCB" w:rsidRDefault="006E5BCB" w:rsidP="00460D89">
      <w:pPr>
        <w:jc w:val="righ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نظرية إيقاع الشعر العربي  محمد العياشي</w:t>
      </w:r>
      <w:r w:rsidR="00412824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.</w:t>
      </w:r>
    </w:p>
    <w:p w:rsidR="006E5BCB" w:rsidRPr="008B0048" w:rsidRDefault="006E5BCB" w:rsidP="008B0048">
      <w:pPr>
        <w:bidi/>
        <w:spacing w:before="150" w:after="90" w:line="320" w:lineRule="atLeas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موسيقى الشعر العربي</w:t>
      </w:r>
      <w:r w:rsidRPr="006E5BCB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شكري عياد</w:t>
      </w:r>
      <w:r w:rsidR="00412824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.</w:t>
      </w:r>
      <w:r w:rsidRPr="008B0048">
        <w:rPr>
          <w:rFonts w:ascii="Traditional Arabic" w:hAnsi="Traditional Arabic" w:cs="Traditional Arabic"/>
          <w:color w:val="262626"/>
          <w:sz w:val="28"/>
          <w:szCs w:val="28"/>
          <w:rtl/>
        </w:rPr>
        <w:t> </w:t>
      </w:r>
    </w:p>
    <w:p w:rsidR="006E5BCB" w:rsidRPr="008B0048" w:rsidRDefault="006E5BCB" w:rsidP="008B0048">
      <w:pPr>
        <w:bidi/>
        <w:spacing w:before="150" w:after="90" w:line="320" w:lineRule="atLeas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موسيقى الشعر</w:t>
      </w:r>
      <w:r w:rsidR="00325AD3"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، والأصوات اللغوية</w:t>
      </w: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 xml:space="preserve"> إبراهيم أنيس</w:t>
      </w:r>
      <w:r w:rsidR="00412824"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.</w:t>
      </w:r>
    </w:p>
    <w:p w:rsidR="006E5BCB" w:rsidRPr="008B0048" w:rsidRDefault="006E5BCB" w:rsidP="008B0048">
      <w:pPr>
        <w:bidi/>
        <w:spacing w:before="150" w:after="90" w:line="320" w:lineRule="atLeas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العروض وإيقاع الشعر العربي سيد بحراوي</w:t>
      </w:r>
      <w:r w:rsidR="00412824"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.</w:t>
      </w:r>
    </w:p>
    <w:p w:rsidR="006E5BCB" w:rsidRPr="008B0048" w:rsidRDefault="00412824" w:rsidP="008B0048">
      <w:pPr>
        <w:bidi/>
        <w:spacing w:before="150" w:after="90" w:line="320" w:lineRule="atLeas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في البنية الإيقاعية للشعر العربي كمال أبو ديب.</w:t>
      </w:r>
    </w:p>
    <w:p w:rsidR="00C42684" w:rsidRPr="008B0048" w:rsidRDefault="00C42684" w:rsidP="008B0048">
      <w:pPr>
        <w:bidi/>
        <w:spacing w:before="150" w:after="90" w:line="320" w:lineRule="atLeas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العروض والإيقاع في النظريات الحديثة للشعر العربي ربيعة الكعبي</w:t>
      </w:r>
    </w:p>
    <w:p w:rsidR="00C42684" w:rsidRPr="008B0048" w:rsidRDefault="00C42684" w:rsidP="00412824">
      <w:pPr>
        <w:jc w:val="righ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في الميزان الجديد محمد مندور</w:t>
      </w:r>
    </w:p>
    <w:p w:rsidR="001E5271" w:rsidRPr="008B0048" w:rsidRDefault="001E5271" w:rsidP="00412824">
      <w:pPr>
        <w:jc w:val="right"/>
        <w:rPr>
          <w:rFonts w:ascii="Traditional Arabic" w:hAnsi="Traditional Arabic" w:cs="Traditional Arabic"/>
          <w:color w:val="262626"/>
          <w:sz w:val="28"/>
          <w:szCs w:val="28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الأسس الجمالية</w:t>
      </w:r>
      <w:r w:rsidR="00325AD3"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 xml:space="preserve"> للإيقاع البلاغي في العصر العباسي  ابتسام حمدان</w:t>
      </w:r>
    </w:p>
    <w:p w:rsidR="00460D89" w:rsidRDefault="006E5BCB" w:rsidP="00A8274B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r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 xml:space="preserve"> </w:t>
      </w:r>
      <w:r w:rsidR="00325AD3" w:rsidRPr="008B0048">
        <w:rPr>
          <w:rFonts w:ascii="Traditional Arabic" w:hAnsi="Traditional Arabic" w:cs="Traditional Arabic" w:hint="cs"/>
          <w:color w:val="262626"/>
          <w:sz w:val="28"/>
          <w:szCs w:val="28"/>
          <w:rtl/>
        </w:rPr>
        <w:t>من شعرية الإيقاع وكتابة الذات   أحمد حيزم</w:t>
      </w:r>
    </w:p>
    <w:p w:rsidR="00460D89" w:rsidRDefault="00460D89" w:rsidP="00460D89">
      <w:pPr>
        <w:bidi/>
      </w:pPr>
    </w:p>
    <w:sectPr w:rsidR="00460D89" w:rsidSect="003136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sindibad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sham cortob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_duba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460D89"/>
    <w:rsid w:val="001E5271"/>
    <w:rsid w:val="003136A2"/>
    <w:rsid w:val="00325AD3"/>
    <w:rsid w:val="00412824"/>
    <w:rsid w:val="00460D89"/>
    <w:rsid w:val="006E5BCB"/>
    <w:rsid w:val="00823957"/>
    <w:rsid w:val="008B0048"/>
    <w:rsid w:val="00A8274B"/>
    <w:rsid w:val="00B71FBB"/>
    <w:rsid w:val="00C42684"/>
    <w:rsid w:val="00C50CE8"/>
    <w:rsid w:val="00C725EA"/>
    <w:rsid w:val="00E03E93"/>
    <w:rsid w:val="00F5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2015-08-18T12:41:00Z</dcterms:created>
  <dcterms:modified xsi:type="dcterms:W3CDTF">2015-08-18T21:10:00Z</dcterms:modified>
</cp:coreProperties>
</file>