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26" w:rsidRDefault="00691626">
      <w:pPr>
        <w:rPr>
          <w:rFonts w:hint="cs"/>
          <w:rtl/>
        </w:rPr>
      </w:pPr>
    </w:p>
    <w:p w:rsidR="00AD5227" w:rsidRDefault="00AD5227" w:rsidP="00AD5227">
      <w:pPr>
        <w:jc w:val="center"/>
        <w:rPr>
          <w:b/>
          <w:bCs/>
        </w:rPr>
      </w:pPr>
      <w:r>
        <w:rPr>
          <w:b/>
          <w:bCs/>
          <w:rtl/>
        </w:rPr>
        <w:t>نموذج وصف مقرر دراسي</w:t>
      </w:r>
    </w:p>
    <w:tbl>
      <w:tblPr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801"/>
        <w:gridCol w:w="3863"/>
        <w:gridCol w:w="3332"/>
      </w:tblGrid>
      <w:tr w:rsidR="00AD5227">
        <w:tc>
          <w:tcPr>
            <w:tcW w:w="2801" w:type="dxa"/>
            <w:hideMark/>
          </w:tcPr>
          <w:p w:rsidR="00AD5227" w:rsidRDefault="00AD5227">
            <w:pPr>
              <w:rPr>
                <w:rFonts w:cs="Traditional Arabic"/>
                <w:b/>
                <w:bCs/>
                <w:szCs w:val="28"/>
              </w:rPr>
            </w:pPr>
            <w:r>
              <w:rPr>
                <w:rFonts w:cs="Traditional Arabic"/>
                <w:b/>
                <w:bCs/>
                <w:szCs w:val="28"/>
                <w:rtl/>
              </w:rPr>
              <w:t>جامعة الملك سعود</w:t>
            </w:r>
          </w:p>
        </w:tc>
        <w:tc>
          <w:tcPr>
            <w:tcW w:w="3863" w:type="dxa"/>
          </w:tcPr>
          <w:p w:rsidR="00AD5227" w:rsidRDefault="00AD5227">
            <w:pPr>
              <w:rPr>
                <w:rFonts w:cs="Traditional Arabic"/>
                <w:b/>
                <w:bCs/>
                <w:szCs w:val="28"/>
              </w:rPr>
            </w:pPr>
          </w:p>
        </w:tc>
        <w:tc>
          <w:tcPr>
            <w:tcW w:w="3332" w:type="dxa"/>
          </w:tcPr>
          <w:p w:rsidR="00AD5227" w:rsidRDefault="00AD5227">
            <w:pPr>
              <w:rPr>
                <w:rFonts w:cs="Traditional Arabic"/>
                <w:b/>
                <w:bCs/>
                <w:szCs w:val="28"/>
              </w:rPr>
            </w:pPr>
          </w:p>
        </w:tc>
      </w:tr>
      <w:tr w:rsidR="00AD5227">
        <w:tc>
          <w:tcPr>
            <w:tcW w:w="2801" w:type="dxa"/>
            <w:hideMark/>
          </w:tcPr>
          <w:p w:rsidR="00AD5227" w:rsidRDefault="00AD5227">
            <w:pPr>
              <w:rPr>
                <w:rFonts w:cs="Traditional Arabic"/>
                <w:b/>
                <w:bCs/>
                <w:szCs w:val="28"/>
              </w:rPr>
            </w:pPr>
            <w:r>
              <w:rPr>
                <w:rFonts w:cs="Traditional Arabic"/>
                <w:b/>
                <w:bCs/>
                <w:szCs w:val="28"/>
                <w:rtl/>
              </w:rPr>
              <w:t>كلية : التربية</w:t>
            </w:r>
          </w:p>
        </w:tc>
        <w:tc>
          <w:tcPr>
            <w:tcW w:w="3863" w:type="dxa"/>
            <w:hideMark/>
          </w:tcPr>
          <w:p w:rsidR="00AD5227" w:rsidRDefault="00AD5227">
            <w:pPr>
              <w:rPr>
                <w:rFonts w:cs="Traditional Arabic"/>
                <w:b/>
                <w:bCs/>
                <w:szCs w:val="28"/>
              </w:rPr>
            </w:pPr>
            <w:r>
              <w:rPr>
                <w:rFonts w:cs="Traditional Arabic"/>
                <w:b/>
                <w:bCs/>
                <w:szCs w:val="28"/>
                <w:rtl/>
              </w:rPr>
              <w:t>اسم المقرر : قضايا كلامية (1) .</w:t>
            </w:r>
          </w:p>
        </w:tc>
        <w:tc>
          <w:tcPr>
            <w:tcW w:w="3332" w:type="dxa"/>
            <w:hideMark/>
          </w:tcPr>
          <w:p w:rsidR="00AD5227" w:rsidRDefault="00AD5227">
            <w:pPr>
              <w:rPr>
                <w:rFonts w:cs="Traditional Arabic"/>
                <w:b/>
                <w:bCs/>
                <w:szCs w:val="28"/>
              </w:rPr>
            </w:pPr>
            <w:r>
              <w:rPr>
                <w:rFonts w:cs="Traditional Arabic"/>
                <w:b/>
                <w:bCs/>
                <w:szCs w:val="28"/>
                <w:rtl/>
              </w:rPr>
              <w:t xml:space="preserve">قسم : الثقافة الإسلامية </w:t>
            </w:r>
          </w:p>
        </w:tc>
      </w:tr>
      <w:tr w:rsidR="00AD5227">
        <w:tc>
          <w:tcPr>
            <w:tcW w:w="6664" w:type="dxa"/>
            <w:gridSpan w:val="2"/>
            <w:hideMark/>
          </w:tcPr>
          <w:p w:rsidR="00AD5227" w:rsidRDefault="00AD5227">
            <w:pPr>
              <w:rPr>
                <w:rFonts w:cs="Traditional Arabic"/>
                <w:b/>
                <w:bCs/>
                <w:szCs w:val="28"/>
              </w:rPr>
            </w:pPr>
            <w:r>
              <w:rPr>
                <w:rFonts w:cs="Traditional Arabic"/>
                <w:b/>
                <w:bCs/>
                <w:szCs w:val="28"/>
                <w:rtl/>
              </w:rPr>
              <w:t xml:space="preserve">رقم المقرر ورمزه : 541سلم </w:t>
            </w:r>
          </w:p>
        </w:tc>
        <w:tc>
          <w:tcPr>
            <w:tcW w:w="3332" w:type="dxa"/>
            <w:hideMark/>
          </w:tcPr>
          <w:p w:rsidR="00AD5227" w:rsidRDefault="00AD5227">
            <w:pPr>
              <w:rPr>
                <w:rFonts w:cs="Traditional Arabic"/>
                <w:b/>
                <w:bCs/>
                <w:szCs w:val="28"/>
              </w:rPr>
            </w:pPr>
            <w:r>
              <w:rPr>
                <w:rFonts w:cs="Traditional Arabic"/>
                <w:b/>
                <w:bCs/>
                <w:szCs w:val="28"/>
                <w:rtl/>
              </w:rPr>
              <w:t>المستوى : الأول</w:t>
            </w:r>
          </w:p>
        </w:tc>
      </w:tr>
    </w:tbl>
    <w:p w:rsidR="00AD5227" w:rsidRDefault="00AD5227" w:rsidP="00AD5227">
      <w:pPr>
        <w:rPr>
          <w:szCs w:val="20"/>
          <w:rtl/>
        </w:rPr>
      </w:pPr>
      <w:r>
        <w:rPr>
          <w:rFonts w:cs="Monotype Koufi" w:hint="cs"/>
          <w:b/>
          <w:bCs/>
          <w:szCs w:val="28"/>
          <w:rtl/>
        </w:rPr>
        <w:t>الوحدات الدراسية :</w:t>
      </w:r>
      <w:r>
        <w:rPr>
          <w:rtl/>
        </w:rPr>
        <w:t xml:space="preserve"> </w:t>
      </w:r>
      <w:r>
        <w:rPr>
          <w:rFonts w:cs="Traditional Arabic"/>
          <w:sz w:val="30"/>
          <w:szCs w:val="30"/>
          <w:rtl/>
        </w:rPr>
        <w:t>المحاضرات النظرية (المقررة) :  3</w:t>
      </w:r>
    </w:p>
    <w:p w:rsidR="00AD5227" w:rsidRDefault="00AD5227" w:rsidP="00AD5227">
      <w:pPr>
        <w:jc w:val="lowKashida"/>
        <w:rPr>
          <w:szCs w:val="20"/>
          <w:rtl/>
        </w:rPr>
      </w:pPr>
      <w:r>
        <w:rPr>
          <w:rFonts w:cs="Monotype Koufi" w:hint="cs"/>
          <w:b/>
          <w:bCs/>
          <w:szCs w:val="28"/>
          <w:rtl/>
        </w:rPr>
        <w:t>مجموع عدد الوحدات الدراسية (المقررة) لهذا المقرر</w:t>
      </w:r>
      <w:r>
        <w:rPr>
          <w:b/>
          <w:bCs/>
          <w:rtl/>
        </w:rPr>
        <w:t xml:space="preserve">: </w:t>
      </w:r>
      <w:r>
        <w:rPr>
          <w:rtl/>
        </w:rPr>
        <w:t xml:space="preserve"> </w:t>
      </w:r>
    </w:p>
    <w:p w:rsidR="00AD5227" w:rsidRDefault="00AD5227" w:rsidP="00AD5227">
      <w:pPr>
        <w:jc w:val="lowKashida"/>
        <w:rPr>
          <w:rFonts w:cs="Traditional Arabic"/>
          <w:sz w:val="30"/>
          <w:szCs w:val="30"/>
          <w:rtl/>
        </w:rPr>
      </w:pPr>
      <w:r>
        <w:rPr>
          <w:rFonts w:cs="Monotype Koufi" w:hint="cs"/>
          <w:b/>
          <w:bCs/>
          <w:szCs w:val="28"/>
          <w:rtl/>
        </w:rPr>
        <w:t>* أهداف المقرر :</w:t>
      </w:r>
      <w:r>
        <w:rPr>
          <w:rtl/>
        </w:rPr>
        <w:t xml:space="preserve"> </w:t>
      </w:r>
      <w:r>
        <w:rPr>
          <w:rFonts w:cs="Traditional Arabic"/>
          <w:sz w:val="30"/>
          <w:szCs w:val="30"/>
          <w:rtl/>
        </w:rPr>
        <w:t xml:space="preserve">دراسة قضايا الإيمان وأسماء الله وصفاته لدى الخوارج، والشيعة، والمعتزلة، والمرجئة والأشاعرة ، والماتريدية ، في ضوء عقيدة أهل السنة والجماعة . </w:t>
      </w:r>
    </w:p>
    <w:p w:rsidR="00AD5227" w:rsidRDefault="00AD5227" w:rsidP="00AD5227">
      <w:pPr>
        <w:jc w:val="lowKashida"/>
        <w:rPr>
          <w:rFonts w:cs="Monotype Koufi"/>
          <w:b/>
          <w:bCs/>
          <w:szCs w:val="28"/>
          <w:rtl/>
        </w:rPr>
      </w:pPr>
      <w:r>
        <w:rPr>
          <w:rFonts w:cs="Monotype Koufi" w:hint="cs"/>
          <w:b/>
          <w:bCs/>
          <w:szCs w:val="28"/>
          <w:rtl/>
        </w:rPr>
        <w:t xml:space="preserve">محتويات المقرر (مفرداته) : </w:t>
      </w:r>
    </w:p>
    <w:p w:rsidR="00AD5227" w:rsidRDefault="00AD5227" w:rsidP="00AD5227">
      <w:pPr>
        <w:jc w:val="lowKashida"/>
        <w:rPr>
          <w:rFonts w:cs="Traditional Arabic" w:hint="cs"/>
          <w:sz w:val="30"/>
          <w:szCs w:val="30"/>
          <w:rtl/>
        </w:rPr>
      </w:pPr>
      <w:r>
        <w:rPr>
          <w:szCs w:val="28"/>
          <w:rtl/>
        </w:rPr>
        <w:t xml:space="preserve">1- </w:t>
      </w:r>
      <w:r>
        <w:rPr>
          <w:rFonts w:cs="Traditional Arabic"/>
          <w:sz w:val="30"/>
          <w:szCs w:val="30"/>
          <w:rtl/>
        </w:rPr>
        <w:t>عرض مجمل لنشأة الفرق الكلامية ، أطوارها ، مراحلها ، أعلامها ، مع التركيز بصفة خاصة على نشأة المذهب الأشعري ، ومراحل تطوره الفكري ، وأهم ما تميّز به من آراء .</w:t>
      </w:r>
    </w:p>
    <w:p w:rsidR="00AD5227" w:rsidRDefault="00AD5227" w:rsidP="00AD5227">
      <w:pPr>
        <w:jc w:val="lowKashida"/>
        <w:rPr>
          <w:rFonts w:cs="Traditional Arabic"/>
          <w:sz w:val="30"/>
          <w:szCs w:val="30"/>
          <w:rtl/>
        </w:rPr>
      </w:pPr>
      <w:r>
        <w:rPr>
          <w:rFonts w:cs="Traditional Arabic"/>
          <w:sz w:val="30"/>
          <w:szCs w:val="30"/>
          <w:rtl/>
        </w:rPr>
        <w:t>2- الإيمان عند أهل السنة والجماعة :حقيقة الإيمان - صلة العمل بالإيمان - مراتب الإيمان - موقفهم من أهل الكبائر .</w:t>
      </w:r>
    </w:p>
    <w:p w:rsidR="00AD5227" w:rsidRDefault="00AD5227" w:rsidP="00AD5227">
      <w:pPr>
        <w:jc w:val="lowKashida"/>
        <w:rPr>
          <w:rFonts w:cs="Traditional Arabic"/>
          <w:sz w:val="30"/>
          <w:szCs w:val="30"/>
          <w:rtl/>
        </w:rPr>
      </w:pPr>
      <w:r>
        <w:rPr>
          <w:rFonts w:cs="Traditional Arabic"/>
          <w:sz w:val="30"/>
          <w:szCs w:val="30"/>
          <w:rtl/>
        </w:rPr>
        <w:t>3- الإيمان عند الوعيدية (المعتزلة والخوارج )عرض ونقد في ضوء أهل السنة والجماعة - تحريفهم للإيمان، وصلة العمل بالإيمان عندهم - موقفهم من الزيادة والنقصان - موقفهم من نصوص الوعد و الوعيد- موقفهم من أهل الكبائر .</w:t>
      </w:r>
    </w:p>
    <w:p w:rsidR="00AD5227" w:rsidRDefault="00AD5227" w:rsidP="00AD5227">
      <w:pPr>
        <w:jc w:val="lowKashida"/>
        <w:rPr>
          <w:rFonts w:cs="Traditional Arabic"/>
          <w:sz w:val="28"/>
          <w:szCs w:val="28"/>
          <w:rtl/>
        </w:rPr>
      </w:pPr>
      <w:r>
        <w:rPr>
          <w:rFonts w:cs="Traditional Arabic"/>
          <w:sz w:val="28"/>
          <w:szCs w:val="28"/>
          <w:rtl/>
        </w:rPr>
        <w:t>4- الإيمان عند المرجئة ومن تأثر بمذهبهم كالأشاعرة والماتريدية ، عرض ونقد في ضوء عقيدة أهل السنة والجماعة- تعريفهم للإيمان، والصلة بين العمل والإيمان- موقفهم من نصوص الوعد والوعيد - الكفر عندهم.</w:t>
      </w:r>
    </w:p>
    <w:p w:rsidR="00AD5227" w:rsidRDefault="00AD5227" w:rsidP="00AD5227">
      <w:pPr>
        <w:jc w:val="lowKashida"/>
        <w:rPr>
          <w:rFonts w:cs="Traditional Arabic"/>
          <w:sz w:val="30"/>
          <w:szCs w:val="30"/>
          <w:rtl/>
        </w:rPr>
      </w:pPr>
      <w:r>
        <w:rPr>
          <w:rFonts w:cs="Traditional Arabic"/>
          <w:sz w:val="30"/>
          <w:szCs w:val="30"/>
          <w:rtl/>
        </w:rPr>
        <w:t>5- دراسة مقارنة لبعض المسائل العقدية المتعلقة بباب الأسماء والصفات في ضوء مذهب أهل السنة والجماعة . مثل : أول واجب على المكلف ، حكم إيمان المقلد .</w:t>
      </w:r>
    </w:p>
    <w:p w:rsidR="00AD5227" w:rsidRDefault="00AD5227" w:rsidP="00AD5227">
      <w:pPr>
        <w:jc w:val="lowKashida"/>
        <w:rPr>
          <w:rFonts w:cs="Traditional Arabic"/>
          <w:sz w:val="26"/>
          <w:szCs w:val="26"/>
          <w:rtl/>
        </w:rPr>
      </w:pPr>
      <w:r>
        <w:rPr>
          <w:rFonts w:cs="Traditional Arabic"/>
          <w:sz w:val="26"/>
          <w:szCs w:val="26"/>
          <w:rtl/>
        </w:rPr>
        <w:t>- مفهوم التوحيد عند المتكلمين - مجمل مذهب المتكلمين في توحيد الأسماء والصفات - التحسين والتقبيح العقليين ..الخ .</w:t>
      </w:r>
    </w:p>
    <w:p w:rsidR="00AD5227" w:rsidRDefault="00AD5227" w:rsidP="00AD5227">
      <w:pPr>
        <w:jc w:val="lowKashida"/>
        <w:rPr>
          <w:rFonts w:cs="Monotype Koufi"/>
          <w:b/>
          <w:bCs/>
          <w:szCs w:val="28"/>
          <w:rtl/>
        </w:rPr>
      </w:pPr>
      <w:r>
        <w:rPr>
          <w:rFonts w:cs="Monotype Koufi" w:hint="cs"/>
          <w:b/>
          <w:bCs/>
          <w:szCs w:val="28"/>
          <w:rtl/>
        </w:rPr>
        <w:t xml:space="preserve">الكتب المقررة والمراجع :  </w:t>
      </w:r>
    </w:p>
    <w:p w:rsidR="00AD5227" w:rsidRDefault="00AD5227" w:rsidP="00AD5227">
      <w:pPr>
        <w:jc w:val="lowKashida"/>
        <w:rPr>
          <w:rFonts w:cs="Traditional Arabic" w:hint="cs"/>
          <w:sz w:val="30"/>
          <w:szCs w:val="30"/>
          <w:rtl/>
        </w:rPr>
      </w:pPr>
      <w:r>
        <w:rPr>
          <w:szCs w:val="28"/>
          <w:rtl/>
        </w:rPr>
        <w:t>1</w:t>
      </w:r>
      <w:r>
        <w:rPr>
          <w:rFonts w:cs="Traditional Arabic"/>
          <w:sz w:val="30"/>
          <w:szCs w:val="30"/>
          <w:rtl/>
        </w:rPr>
        <w:t xml:space="preserve">- شرح العقيدة الطحاوية .      2- مجموع فتاوي شيخ الإسلام جـ7 . 3- مقدمة شرح أصول اعتقاد أهل السنة ، اللالكائي ، تحيق د/أحمد سعد حمدان . 4- أساس التقديس ، للفخر الرازي .   5- المواقف للأبجي .   6- الإرشاد ، لأبي المعالي الجويني . 7- شرح الأصول الخمسة ، لعبد الجبار الهمذاني .    8- موقف ابن تيمية من الأشاعرة . د/ عبدالرحمن المحمود .    9- أصول مذهب الشيعة الإمامية . د/ناصر القفاري .   10- نواقض الإيمان الاعتقادية . د/محمد الوهيبي . 11- منهج أهل السنة والجماعة ومنهج الأشاعرة في توحيد الله . د/خالد محمد نور .  </w:t>
      </w:r>
    </w:p>
    <w:p w:rsidR="00AD5227" w:rsidRDefault="00AD5227" w:rsidP="00AD5227">
      <w:pPr>
        <w:jc w:val="lowKashida"/>
        <w:rPr>
          <w:szCs w:val="28"/>
          <w:rtl/>
        </w:rPr>
      </w:pPr>
    </w:p>
    <w:p w:rsidR="00AD5227" w:rsidRDefault="00AD5227" w:rsidP="00AD5227">
      <w:pPr>
        <w:rPr>
          <w:rtl/>
        </w:rPr>
      </w:pPr>
      <w:bookmarkStart w:id="0" w:name="_GoBack"/>
      <w:bookmarkEnd w:id="0"/>
    </w:p>
    <w:p w:rsidR="00AD5227" w:rsidRDefault="00AD5227" w:rsidP="00AD5227"/>
    <w:sectPr w:rsidR="00AD5227" w:rsidSect="0053544B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227"/>
    <w:rsid w:val="002515E0"/>
    <w:rsid w:val="002F26D4"/>
    <w:rsid w:val="0053544B"/>
    <w:rsid w:val="00691626"/>
    <w:rsid w:val="00AD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27"/>
    <w:pPr>
      <w:bidi/>
      <w:spacing w:after="0" w:line="240" w:lineRule="auto"/>
    </w:pPr>
    <w:rPr>
      <w:rFonts w:ascii="Times New Roman" w:eastAsia="Times New Roman" w:hAnsi="Times New Roman" w:cs="Arial"/>
      <w:noProof/>
      <w:sz w:val="2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27"/>
    <w:pPr>
      <w:bidi/>
      <w:spacing w:after="0" w:line="240" w:lineRule="auto"/>
    </w:pPr>
    <w:rPr>
      <w:rFonts w:ascii="Times New Roman" w:eastAsia="Times New Roman" w:hAnsi="Times New Roman" w:cs="Arial"/>
      <w:noProof/>
      <w:sz w:val="2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cp:lastPrinted>2017-05-10T12:53:00Z</cp:lastPrinted>
  <dcterms:created xsi:type="dcterms:W3CDTF">2017-05-10T12:49:00Z</dcterms:created>
  <dcterms:modified xsi:type="dcterms:W3CDTF">2017-05-10T12:54:00Z</dcterms:modified>
</cp:coreProperties>
</file>